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323" w:rsidRDefault="000B7323">
      <w:pPr>
        <w:spacing w:line="360" w:lineRule="auto"/>
        <w:jc w:val="center"/>
        <w:rPr>
          <w:rFonts w:ascii="仿宋_GB2312" w:eastAsia="仿宋_GB2312" w:hAnsi="仿宋_GB2312" w:cs="仿宋_GB2312"/>
          <w:b/>
          <w:color w:val="000000" w:themeColor="text1"/>
          <w:sz w:val="96"/>
          <w:szCs w:val="96"/>
        </w:rPr>
      </w:pPr>
    </w:p>
    <w:p w:rsidR="000B7323" w:rsidRPr="00EE7EC9" w:rsidRDefault="00000000">
      <w:pPr>
        <w:spacing w:line="360" w:lineRule="auto"/>
        <w:jc w:val="center"/>
        <w:rPr>
          <w:rFonts w:ascii="宋体" w:eastAsia="宋体" w:hAnsi="宋体" w:cs="仿宋_GB2312"/>
          <w:b/>
          <w:bCs/>
          <w:color w:val="FF0000"/>
          <w:spacing w:val="-40"/>
          <w:sz w:val="84"/>
          <w:szCs w:val="84"/>
        </w:rPr>
      </w:pPr>
      <w:r w:rsidRPr="00EE7EC9">
        <w:rPr>
          <w:rFonts w:ascii="宋体" w:eastAsia="宋体" w:hAnsi="宋体" w:cs="仿宋_GB2312" w:hint="eastAsia"/>
          <w:b/>
          <w:color w:val="000000" w:themeColor="text1"/>
          <w:sz w:val="28"/>
          <w:szCs w:val="28"/>
        </w:rPr>
        <w:t xml:space="preserve">   </w:t>
      </w:r>
      <w:r w:rsidRPr="00EE7EC9">
        <w:rPr>
          <w:rFonts w:ascii="宋体" w:eastAsia="宋体" w:hAnsi="宋体" w:cs="仿宋_GB2312" w:hint="eastAsia"/>
          <w:b/>
          <w:bCs/>
          <w:color w:val="FF0000"/>
          <w:spacing w:val="-40"/>
          <w:sz w:val="84"/>
          <w:szCs w:val="84"/>
        </w:rPr>
        <w:t>上海国家会计学院</w:t>
      </w:r>
    </w:p>
    <w:p w:rsidR="000B7323" w:rsidRDefault="000B7323">
      <w:pPr>
        <w:spacing w:line="360" w:lineRule="auto"/>
        <w:jc w:val="center"/>
        <w:rPr>
          <w:rFonts w:ascii="仿宋_GB2312" w:eastAsia="仿宋_GB2312" w:hAnsi="仿宋_GB2312" w:cs="仿宋_GB2312"/>
          <w:b/>
          <w:bCs/>
          <w:color w:val="000000" w:themeColor="text1"/>
          <w:spacing w:val="-40"/>
          <w:sz w:val="32"/>
          <w:szCs w:val="32"/>
        </w:rPr>
      </w:pPr>
    </w:p>
    <w:p w:rsidR="000B7323" w:rsidRPr="00EE7EC9" w:rsidRDefault="00000000">
      <w:pPr>
        <w:spacing w:line="360" w:lineRule="auto"/>
        <w:jc w:val="center"/>
        <w:rPr>
          <w:rFonts w:ascii="宋体" w:eastAsia="宋体" w:hAnsi="宋体" w:cs="仿宋_GB2312"/>
          <w:bCs/>
          <w:color w:val="000000" w:themeColor="text1"/>
          <w:sz w:val="32"/>
          <w:szCs w:val="32"/>
        </w:rPr>
      </w:pPr>
      <w:r w:rsidRPr="00EE7EC9">
        <w:rPr>
          <w:rFonts w:ascii="宋体" w:eastAsia="宋体" w:hAnsi="宋体" w:cs="仿宋_GB2312" w:hint="eastAsia"/>
          <w:bCs/>
          <w:color w:val="000000" w:themeColor="text1"/>
          <w:sz w:val="32"/>
          <w:szCs w:val="32"/>
        </w:rPr>
        <w:t>上国会培〔2026〕19号</w:t>
      </w:r>
    </w:p>
    <w:p w:rsidR="000B7323" w:rsidRDefault="00000000">
      <w:pPr>
        <w:spacing w:line="360" w:lineRule="auto"/>
        <w:ind w:rightChars="-15" w:right="-31"/>
        <w:rPr>
          <w:rFonts w:ascii="仿宋_GB2312" w:eastAsia="仿宋_GB2312" w:hAnsi="仿宋_GB2312" w:cs="仿宋_GB2312"/>
          <w:b/>
          <w:color w:val="000000" w:themeColor="text1"/>
          <w:sz w:val="44"/>
          <w:szCs w:val="44"/>
        </w:rPr>
      </w:pPr>
      <w:r>
        <w:rPr>
          <w:rFonts w:ascii="仿宋_GB2312" w:eastAsia="仿宋_GB2312" w:hAnsi="仿宋_GB2312" w:cs="仿宋_GB2312" w:hint="eastAsia"/>
          <w:bCs/>
          <w:noProof/>
          <w:color w:val="000000" w:themeColor="text1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227330</wp:posOffset>
                </wp:positionV>
                <wp:extent cx="5287010" cy="0"/>
                <wp:effectExtent l="0" t="12700" r="21590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870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2.1pt;margin-top:17.9pt;height:0pt;width:416.3pt;z-index:251659264;mso-width-relative:page;mso-height-relative:page;" filled="f" stroked="t" coordsize="21600,21600" o:gfxdata="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sc2GTUAAAACAEAAA8AAAAAAAAAAQAgAAAAIgAAAGRycy9kb3ducmV2LnhtbFBLAQIUABQAAAAI&#10;AIdO4kDuTwA78QEAAMMDAAAOAAAAAAAAAAEAIAAAACMBAABkcnMvZTJvRG9jLnhtbFBLBQYAAAAA&#10;BgAGAFkBAACG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0B7323" w:rsidRPr="00EE7EC9" w:rsidRDefault="00000000">
      <w:pPr>
        <w:spacing w:line="360" w:lineRule="auto"/>
        <w:ind w:rightChars="-15" w:right="-31"/>
        <w:jc w:val="center"/>
        <w:rPr>
          <w:rFonts w:ascii="宋体" w:eastAsia="宋体" w:hAnsi="宋体" w:cs="仿宋_GB2312"/>
          <w:b/>
          <w:color w:val="000000" w:themeColor="text1"/>
          <w:sz w:val="36"/>
          <w:szCs w:val="36"/>
        </w:rPr>
      </w:pPr>
      <w:r w:rsidRPr="00EE7EC9">
        <w:rPr>
          <w:rFonts w:ascii="宋体" w:eastAsia="宋体" w:hAnsi="宋体" w:cs="仿宋_GB2312" w:hint="eastAsia"/>
          <w:b/>
          <w:color w:val="000000" w:themeColor="text1"/>
          <w:sz w:val="36"/>
          <w:szCs w:val="36"/>
        </w:rPr>
        <w:t>关于举办“业财融合实务与财务BP核心能力建设（线下+线上）”研修班的通知</w:t>
      </w:r>
    </w:p>
    <w:p w:rsidR="000B7323" w:rsidRDefault="000B7323">
      <w:pPr>
        <w:rPr>
          <w:rFonts w:ascii="仿宋_GB2312" w:eastAsia="仿宋_GB2312" w:hAnsi="仿宋_GB2312" w:cs="仿宋_GB2312"/>
          <w:b/>
          <w:color w:val="000000" w:themeColor="text1"/>
          <w:sz w:val="28"/>
          <w:szCs w:val="28"/>
        </w:rPr>
      </w:pPr>
    </w:p>
    <w:p w:rsidR="000B7323" w:rsidRPr="00EE7EC9" w:rsidRDefault="00000000" w:rsidP="00EE7EC9">
      <w:pPr>
        <w:widowControl/>
        <w:spacing w:line="360" w:lineRule="auto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各相关单位：</w:t>
      </w:r>
    </w:p>
    <w:p w:rsidR="000B7323" w:rsidRPr="00EE7EC9" w:rsidRDefault="00000000" w:rsidP="00EE7EC9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在数字化浪潮席卷全球的背景下，传统财务职能已难以匹配企业发展需求，财务部门必须主动转型，而这一转型的核心方向正是数字化时代下的业财深度融合，通过深度参与决策支持和绩效管理，在企业运营中发挥更大的影响力与价值。业财融合的落地，离不开高效的业务合作伙伴——财务BP（Business Partner）。</w:t>
      </w:r>
    </w:p>
    <w:p w:rsidR="000B7323" w:rsidRPr="00EE7EC9" w:rsidRDefault="00000000" w:rsidP="00EE7EC9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如今，在管理领先型企业中，财务BP已逐渐成为财务队伍的主体，更是财务精英实现职业升华的必经之路。作为连接财务与业务的关键纽带，财务人员需具备综合的专业知识、商业技能、沟通能力及领导力，为企业决策提供</w:t>
      </w:r>
      <w:r w:rsidRPr="00EE7EC9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有力支持，推动绩效管理高效落地。但转型过程中，企业与个人均面临诸多挑战：从财务与业务的职责界定、财务人员融入业务场景，到基于数据开展深度分析、参与经营决策，再到个人工作模式的重构，每一步都需要系统的能力支撑。</w:t>
      </w:r>
    </w:p>
    <w:p w:rsidR="000B7323" w:rsidRPr="00EE7EC9" w:rsidRDefault="00000000" w:rsidP="00EE7EC9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为助力企业与财务人员突破转型瓶颈，精准把握业财融合的逻辑与路径，上海国家会计学院特开设“业财融合实务与财务BP核心能力建设”课程，帮助企业找到业财融合的切入点，同时为财务BP人员搭建核心能力提升体系，并结合华为领先实践，开启财务转型与价值创造之路。</w:t>
      </w:r>
    </w:p>
    <w:p w:rsidR="000B7323" w:rsidRPr="00EE7EC9" w:rsidRDefault="00000000" w:rsidP="00EE7EC9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附件：一、课程简介</w:t>
      </w:r>
    </w:p>
    <w:p w:rsidR="000B7323" w:rsidRPr="00EE7EC9" w:rsidRDefault="00000000" w:rsidP="00EE7EC9">
      <w:pPr>
        <w:widowControl/>
        <w:spacing w:line="360" w:lineRule="auto"/>
        <w:ind w:firstLineChars="500" w:firstLine="160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二、报名回执表</w:t>
      </w:r>
    </w:p>
    <w:p w:rsidR="000B7323" w:rsidRPr="00EE7EC9" w:rsidRDefault="000B7323" w:rsidP="00EE7EC9">
      <w:pPr>
        <w:widowControl/>
        <w:spacing w:line="360" w:lineRule="auto"/>
        <w:ind w:firstLineChars="500" w:firstLine="160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0B7323" w:rsidRPr="00EE7EC9" w:rsidRDefault="000B7323" w:rsidP="00EE7EC9">
      <w:pPr>
        <w:widowControl/>
        <w:spacing w:line="360" w:lineRule="auto"/>
        <w:ind w:firstLineChars="500" w:firstLine="160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0B7323" w:rsidRPr="00EE7EC9" w:rsidRDefault="000B7323" w:rsidP="00EE7EC9">
      <w:pPr>
        <w:widowControl/>
        <w:spacing w:line="360" w:lineRule="auto"/>
        <w:ind w:firstLineChars="500" w:firstLine="160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0B7323" w:rsidRPr="00EE7EC9" w:rsidRDefault="000B7323" w:rsidP="00EE7EC9">
      <w:pPr>
        <w:widowControl/>
        <w:spacing w:line="360" w:lineRule="auto"/>
        <w:ind w:firstLineChars="500" w:firstLine="160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EE7EC9" w:rsidRDefault="00EE7EC9" w:rsidP="00EE7EC9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E7EC9" w:rsidRDefault="00EE7EC9" w:rsidP="00EE7EC9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:rsidR="00EE7EC9" w:rsidRDefault="00EE7EC9" w:rsidP="00EE7EC9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:rsidR="00EE7EC9" w:rsidRDefault="00EE7EC9" w:rsidP="00EE7EC9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:rsidR="00EE7EC9" w:rsidRDefault="00EE7EC9" w:rsidP="00EE7EC9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81AB8" wp14:editId="4AD5BF5D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1398600299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A1C04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:rsidR="00EE7EC9" w:rsidRPr="007D39EB" w:rsidRDefault="00EE7EC9" w:rsidP="00EE7EC9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:rsidR="000B7323" w:rsidRPr="00EE7EC9" w:rsidRDefault="00EE7EC9" w:rsidP="00EE7EC9">
      <w:pPr>
        <w:pStyle w:val="a9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B274F" wp14:editId="7DBFB0FA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514112877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D42E4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lastRenderedPageBreak/>
        <w:t>附件一：课程简介</w:t>
      </w:r>
    </w:p>
    <w:p w:rsidR="000B7323" w:rsidRPr="00EE7EC9" w:rsidRDefault="00000000" w:rsidP="00EE7EC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_GB2312"/>
          <w:b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培训安排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1701"/>
        <w:gridCol w:w="2976"/>
      </w:tblGrid>
      <w:tr w:rsidR="000B7323" w:rsidRPr="00EE7EC9">
        <w:trPr>
          <w:jc w:val="center"/>
        </w:trPr>
        <w:tc>
          <w:tcPr>
            <w:tcW w:w="1555" w:type="dxa"/>
          </w:tcPr>
          <w:p w:rsidR="000B7323" w:rsidRPr="00EE7EC9" w:rsidRDefault="00000000" w:rsidP="00EE7EC9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期数</w:t>
            </w:r>
          </w:p>
        </w:tc>
        <w:tc>
          <w:tcPr>
            <w:tcW w:w="3402" w:type="dxa"/>
          </w:tcPr>
          <w:p w:rsidR="000B7323" w:rsidRPr="00EE7EC9" w:rsidRDefault="00000000" w:rsidP="00EE7EC9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培训时间</w:t>
            </w:r>
          </w:p>
        </w:tc>
        <w:tc>
          <w:tcPr>
            <w:tcW w:w="1701" w:type="dxa"/>
          </w:tcPr>
          <w:p w:rsidR="000B7323" w:rsidRPr="00EE7EC9" w:rsidRDefault="00000000" w:rsidP="00EE7EC9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报到时间</w:t>
            </w:r>
          </w:p>
        </w:tc>
        <w:tc>
          <w:tcPr>
            <w:tcW w:w="2976" w:type="dxa"/>
          </w:tcPr>
          <w:p w:rsidR="000B7323" w:rsidRPr="00EE7EC9" w:rsidRDefault="00000000" w:rsidP="00EE7EC9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培训地点</w:t>
            </w:r>
          </w:p>
        </w:tc>
      </w:tr>
      <w:tr w:rsidR="00230F8D" w:rsidRPr="00EE7EC9">
        <w:trPr>
          <w:jc w:val="center"/>
        </w:trPr>
        <w:tc>
          <w:tcPr>
            <w:tcW w:w="1555" w:type="dxa"/>
          </w:tcPr>
          <w:p w:rsidR="00230F8D" w:rsidRPr="00EE7EC9" w:rsidRDefault="00230F8D" w:rsidP="00230F8D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第一期</w:t>
            </w:r>
          </w:p>
        </w:tc>
        <w:tc>
          <w:tcPr>
            <w:tcW w:w="3402" w:type="dxa"/>
          </w:tcPr>
          <w:p w:rsidR="00230F8D" w:rsidRPr="00EE7EC9" w:rsidRDefault="00230F8D" w:rsidP="00230F8D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4月13-15日</w:t>
            </w:r>
          </w:p>
        </w:tc>
        <w:tc>
          <w:tcPr>
            <w:tcW w:w="1701" w:type="dxa"/>
          </w:tcPr>
          <w:p w:rsidR="00230F8D" w:rsidRPr="00EE7EC9" w:rsidRDefault="00230F8D" w:rsidP="00230F8D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12日</w:t>
            </w:r>
          </w:p>
        </w:tc>
        <w:tc>
          <w:tcPr>
            <w:tcW w:w="2976" w:type="dxa"/>
          </w:tcPr>
          <w:p w:rsidR="00230F8D" w:rsidRPr="00EE7EC9" w:rsidRDefault="00230F8D" w:rsidP="00230F8D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重庆</w:t>
            </w:r>
          </w:p>
        </w:tc>
      </w:tr>
      <w:tr w:rsidR="00230F8D" w:rsidRPr="00EE7EC9">
        <w:trPr>
          <w:jc w:val="center"/>
        </w:trPr>
        <w:tc>
          <w:tcPr>
            <w:tcW w:w="1555" w:type="dxa"/>
          </w:tcPr>
          <w:p w:rsidR="00230F8D" w:rsidRPr="00EE7EC9" w:rsidRDefault="00230F8D" w:rsidP="00230F8D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第二期</w:t>
            </w:r>
          </w:p>
        </w:tc>
        <w:tc>
          <w:tcPr>
            <w:tcW w:w="3402" w:type="dxa"/>
          </w:tcPr>
          <w:p w:rsidR="00230F8D" w:rsidRPr="00EE7EC9" w:rsidRDefault="00230F8D" w:rsidP="00230F8D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7月27-29日</w:t>
            </w:r>
          </w:p>
        </w:tc>
        <w:tc>
          <w:tcPr>
            <w:tcW w:w="1701" w:type="dxa"/>
          </w:tcPr>
          <w:p w:rsidR="00230F8D" w:rsidRPr="00EE7EC9" w:rsidRDefault="00230F8D" w:rsidP="00230F8D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26日</w:t>
            </w:r>
          </w:p>
        </w:tc>
        <w:tc>
          <w:tcPr>
            <w:tcW w:w="2976" w:type="dxa"/>
          </w:tcPr>
          <w:p w:rsidR="00230F8D" w:rsidRPr="00EE7EC9" w:rsidRDefault="00230F8D" w:rsidP="00230F8D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上海国家会计学院</w:t>
            </w:r>
          </w:p>
        </w:tc>
      </w:tr>
      <w:tr w:rsidR="00230F8D" w:rsidRPr="00EE7EC9">
        <w:trPr>
          <w:jc w:val="center"/>
        </w:trPr>
        <w:tc>
          <w:tcPr>
            <w:tcW w:w="1555" w:type="dxa"/>
          </w:tcPr>
          <w:p w:rsidR="00230F8D" w:rsidRPr="00EE7EC9" w:rsidRDefault="00230F8D" w:rsidP="00230F8D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第</w:t>
            </w:r>
            <w:r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三</w:t>
            </w: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期</w:t>
            </w:r>
          </w:p>
        </w:tc>
        <w:tc>
          <w:tcPr>
            <w:tcW w:w="3402" w:type="dxa"/>
          </w:tcPr>
          <w:p w:rsidR="00230F8D" w:rsidRPr="00EE7EC9" w:rsidRDefault="00230F8D" w:rsidP="00230F8D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10月26-28日</w:t>
            </w:r>
          </w:p>
        </w:tc>
        <w:tc>
          <w:tcPr>
            <w:tcW w:w="1701" w:type="dxa"/>
          </w:tcPr>
          <w:p w:rsidR="00230F8D" w:rsidRPr="00EE7EC9" w:rsidRDefault="00230F8D" w:rsidP="00230F8D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25日</w:t>
            </w:r>
          </w:p>
        </w:tc>
        <w:tc>
          <w:tcPr>
            <w:tcW w:w="2976" w:type="dxa"/>
          </w:tcPr>
          <w:p w:rsidR="00230F8D" w:rsidRPr="00EE7EC9" w:rsidRDefault="00230F8D" w:rsidP="00230F8D">
            <w:pPr>
              <w:spacing w:line="360" w:lineRule="auto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上海国家会计学院</w:t>
            </w:r>
          </w:p>
        </w:tc>
      </w:tr>
    </w:tbl>
    <w:p w:rsidR="000B7323" w:rsidRPr="00EE7EC9" w:rsidRDefault="00000000" w:rsidP="00EE7EC9">
      <w:pPr>
        <w:spacing w:line="360" w:lineRule="auto"/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线下面授 + 线上直播 同步进行，学员可自主选择参加面授或直播，凡参训学员皆提供14天录播回看。（如果线上授课因故取消，本期课程不提供录播回看。）</w:t>
      </w:r>
    </w:p>
    <w:p w:rsidR="000B7323" w:rsidRPr="00EE7EC9" w:rsidRDefault="00000000" w:rsidP="00EE7EC9">
      <w:pPr>
        <w:numPr>
          <w:ilvl w:val="0"/>
          <w:numId w:val="1"/>
        </w:numPr>
        <w:spacing w:line="360" w:lineRule="auto"/>
        <w:rPr>
          <w:rFonts w:ascii="仿宋" w:eastAsia="仿宋" w:hAnsi="仿宋" w:cs="仿宋_GB2312"/>
          <w:b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课程特色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1.实战化导向：提供可直接应用的模型、工具、报告模板和工作计划框架。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2.案例深度剖析：所有案例均基于真实企业匿名改编，聚焦决策场景与难点突破。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3.工作坊式互动：贯穿课程的研讨、模拟与计划制定，确保学以致用。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4.精准定位：紧密贴合企业实际，帮助财务BP在各自组织环境中精准定位，创造不可替代的价值。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三、培训对象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对财务管理转型、业财融合感兴趣的财务业务骨干。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四、课程内容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color w:val="000000" w:themeColor="text1"/>
          <w:kern w:val="0"/>
          <w:sz w:val="32"/>
          <w:szCs w:val="32"/>
        </w:rPr>
        <w:t>模块一：理念与定位--财务BP的角色认知与价值重塑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lastRenderedPageBreak/>
        <w:t>财务职能演进与BP角色诞生</w:t>
      </w:r>
    </w:p>
    <w:p w:rsidR="000B7323" w:rsidRPr="00EE7EC9" w:rsidRDefault="00000000" w:rsidP="00EE7EC9">
      <w:pPr>
        <w:numPr>
          <w:ilvl w:val="0"/>
          <w:numId w:val="2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央国企视角与民营企业视角</w:t>
      </w:r>
    </w:p>
    <w:p w:rsidR="000B7323" w:rsidRPr="00EE7EC9" w:rsidRDefault="00000000" w:rsidP="00EE7EC9">
      <w:pPr>
        <w:numPr>
          <w:ilvl w:val="0"/>
          <w:numId w:val="2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核心案例解析</w:t>
      </w:r>
    </w:p>
    <w:p w:rsidR="000B7323" w:rsidRPr="00EE7EC9" w:rsidRDefault="00000000" w:rsidP="00EE7EC9">
      <w:pPr>
        <w:numPr>
          <w:ilvl w:val="0"/>
          <w:numId w:val="2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财务BP能力五阶跃迁模型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color w:val="000000" w:themeColor="text1"/>
          <w:kern w:val="0"/>
          <w:sz w:val="32"/>
          <w:szCs w:val="32"/>
        </w:rPr>
        <w:t>模块二：架构与融入--财务BP的生存土壤与协同网络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1. 财务BP的成功植入与团队锻造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2. 常见误区与特色路径解析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3. 支撑BP效能的业财数据体系构建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color w:val="000000" w:themeColor="text1"/>
          <w:kern w:val="0"/>
          <w:sz w:val="32"/>
          <w:szCs w:val="32"/>
        </w:rPr>
        <w:t>模块三：场景与实战--核心业务闭环的财务BP赋能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（五大核心场景，均分设央国企与民企案例）</w:t>
      </w:r>
    </w:p>
    <w:p w:rsidR="000B7323" w:rsidRPr="00EE7EC9" w:rsidRDefault="00000000" w:rsidP="00EE7EC9">
      <w:pPr>
        <w:numPr>
          <w:ilvl w:val="0"/>
          <w:numId w:val="3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市场营销投入</w:t>
      </w:r>
    </w:p>
    <w:p w:rsidR="000B7323" w:rsidRPr="00EE7EC9" w:rsidRDefault="00000000" w:rsidP="00EE7EC9">
      <w:pPr>
        <w:numPr>
          <w:ilvl w:val="0"/>
          <w:numId w:val="3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销售与客户管理</w:t>
      </w:r>
    </w:p>
    <w:p w:rsidR="000B7323" w:rsidRPr="00EE7EC9" w:rsidRDefault="00000000" w:rsidP="00EE7EC9">
      <w:pPr>
        <w:numPr>
          <w:ilvl w:val="0"/>
          <w:numId w:val="3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供应链与生产</w:t>
      </w:r>
    </w:p>
    <w:p w:rsidR="000B7323" w:rsidRPr="00EE7EC9" w:rsidRDefault="00000000" w:rsidP="00EE7EC9">
      <w:pPr>
        <w:numPr>
          <w:ilvl w:val="0"/>
          <w:numId w:val="3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研发与创新管理</w:t>
      </w:r>
    </w:p>
    <w:p w:rsidR="000B7323" w:rsidRPr="00EE7EC9" w:rsidRDefault="00000000" w:rsidP="00EE7EC9">
      <w:pPr>
        <w:numPr>
          <w:ilvl w:val="0"/>
          <w:numId w:val="3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投资与项目管理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color w:val="000000" w:themeColor="text1"/>
          <w:kern w:val="0"/>
          <w:sz w:val="32"/>
          <w:szCs w:val="32"/>
        </w:rPr>
        <w:t>模块四：交付与沉淀--从分析洞察到管理行动</w:t>
      </w:r>
    </w:p>
    <w:p w:rsidR="000B7323" w:rsidRPr="00EE7EC9" w:rsidRDefault="00000000" w:rsidP="00EE7EC9">
      <w:pPr>
        <w:numPr>
          <w:ilvl w:val="0"/>
          <w:numId w:val="4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驱动业务变革的经营分析会与绩效管理</w:t>
      </w:r>
    </w:p>
    <w:p w:rsidR="000B7323" w:rsidRPr="00EE7EC9" w:rsidRDefault="00000000" w:rsidP="00EE7EC9">
      <w:pPr>
        <w:numPr>
          <w:ilvl w:val="0"/>
          <w:numId w:val="4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核心工具介绍</w:t>
      </w:r>
    </w:p>
    <w:p w:rsidR="000B7323" w:rsidRPr="00EE7EC9" w:rsidRDefault="00000000" w:rsidP="00EE7EC9">
      <w:pPr>
        <w:numPr>
          <w:ilvl w:val="0"/>
          <w:numId w:val="4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财务指标与业务绩效的融合</w:t>
      </w:r>
    </w:p>
    <w:p w:rsidR="000B7323" w:rsidRPr="00EE7EC9" w:rsidRDefault="00000000" w:rsidP="00EE7EC9">
      <w:pPr>
        <w:numPr>
          <w:ilvl w:val="0"/>
          <w:numId w:val="4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财务BP的年度价值地图与个人发展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color w:val="000000" w:themeColor="text1"/>
          <w:kern w:val="0"/>
          <w:sz w:val="32"/>
          <w:szCs w:val="32"/>
        </w:rPr>
        <w:t>模块五：标杆案例：华为财经BP实践分享</w:t>
      </w:r>
    </w:p>
    <w:p w:rsidR="000B7323" w:rsidRPr="00EE7EC9" w:rsidRDefault="00000000" w:rsidP="00EE7EC9">
      <w:pPr>
        <w:numPr>
          <w:ilvl w:val="0"/>
          <w:numId w:val="5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华为的财经变革历程</w:t>
      </w:r>
    </w:p>
    <w:p w:rsidR="000B7323" w:rsidRPr="00EE7EC9" w:rsidRDefault="00000000" w:rsidP="00EE7EC9">
      <w:pPr>
        <w:numPr>
          <w:ilvl w:val="0"/>
          <w:numId w:val="5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lastRenderedPageBreak/>
        <w:t>华为业财融合之旅-IFS变革</w:t>
      </w:r>
    </w:p>
    <w:p w:rsidR="000B7323" w:rsidRPr="00EE7EC9" w:rsidRDefault="00000000" w:rsidP="00EE7EC9">
      <w:pPr>
        <w:numPr>
          <w:ilvl w:val="0"/>
          <w:numId w:val="5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华为业财融合的组织设计和能力要求</w:t>
      </w:r>
    </w:p>
    <w:p w:rsidR="000B7323" w:rsidRPr="00EE7EC9" w:rsidRDefault="00000000" w:rsidP="00EE7EC9">
      <w:pPr>
        <w:numPr>
          <w:ilvl w:val="0"/>
          <w:numId w:val="5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华为公司财务BP工作的全景图与发展历程</w:t>
      </w:r>
    </w:p>
    <w:p w:rsidR="000B7323" w:rsidRPr="00EE7EC9" w:rsidRDefault="00000000" w:rsidP="00EE7EC9">
      <w:pPr>
        <w:numPr>
          <w:ilvl w:val="0"/>
          <w:numId w:val="5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华为销售与研发流程财务BP实践</w:t>
      </w:r>
    </w:p>
    <w:p w:rsidR="000B7323" w:rsidRPr="00EE7EC9" w:rsidRDefault="00000000" w:rsidP="00EE7EC9">
      <w:pPr>
        <w:numPr>
          <w:ilvl w:val="0"/>
          <w:numId w:val="5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华为经营分析与问题解决实践</w:t>
      </w:r>
    </w:p>
    <w:p w:rsidR="000B7323" w:rsidRPr="00EE7EC9" w:rsidRDefault="00000000" w:rsidP="00EE7EC9">
      <w:pPr>
        <w:numPr>
          <w:ilvl w:val="0"/>
          <w:numId w:val="5"/>
        </w:numPr>
        <w:spacing w:line="360" w:lineRule="auto"/>
        <w:rPr>
          <w:rFonts w:ascii="仿宋" w:eastAsia="仿宋" w:hAnsi="仿宋" w:cs="仿宋_GB2312"/>
          <w:bCs/>
          <w:color w:val="000000" w:themeColor="text1"/>
          <w:kern w:val="0"/>
          <w:sz w:val="32"/>
          <w:szCs w:val="32"/>
        </w:rPr>
      </w:pPr>
      <w:r w:rsidRPr="00EE7EC9">
        <w:rPr>
          <w:rFonts w:ascii="仿宋" w:eastAsia="仿宋" w:hAnsi="仿宋" w:cs="仿宋_GB2312" w:hint="eastAsia"/>
          <w:bCs/>
          <w:color w:val="000000" w:themeColor="text1"/>
          <w:kern w:val="0"/>
          <w:sz w:val="32"/>
          <w:szCs w:val="32"/>
        </w:rPr>
        <w:t>华为财务BP的能力模型与KPI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sz w:val="32"/>
          <w:szCs w:val="32"/>
        </w:rPr>
        <w:t>五、拟邀师资</w:t>
      </w:r>
    </w:p>
    <w:p w:rsidR="00091A7E" w:rsidRDefault="00091A7E" w:rsidP="00EE7EC9">
      <w:pPr>
        <w:spacing w:line="360" w:lineRule="auto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091A7E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本课程由上海国家会计学院精心组织的专门师资团队授课，授课老师皆具有深厚理论功底及丰富实践经验，具体师资以实际课表为准。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b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sz w:val="32"/>
          <w:szCs w:val="32"/>
        </w:rPr>
        <w:t>六、收费标准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color w:val="000000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/>
          <w:sz w:val="32"/>
          <w:szCs w:val="32"/>
        </w:rPr>
        <w:t>1.培训费：线下课程6000元/人，线上课程5100元/人；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color w:val="000000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/>
          <w:sz w:val="32"/>
          <w:szCs w:val="32"/>
        </w:rPr>
        <w:t>2.食宿统一安排，费用自理，具体标准以开课通知为准。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EE7EC9">
        <w:rPr>
          <w:rFonts w:ascii="仿宋" w:eastAsia="仿宋" w:hAnsi="仿宋" w:cs="仿宋_GB2312" w:hint="eastAsia"/>
          <w:color w:val="000000"/>
          <w:sz w:val="32"/>
          <w:szCs w:val="32"/>
        </w:rPr>
        <w:t>3.费用支付方式：培训费由上海国家会计</w:t>
      </w:r>
      <w:r w:rsidRPr="00EE7EC9">
        <w:rPr>
          <w:rFonts w:ascii="仿宋" w:eastAsia="仿宋" w:hAnsi="仿宋" w:cs="仿宋_GB2312" w:hint="eastAsia"/>
          <w:sz w:val="32"/>
          <w:szCs w:val="32"/>
        </w:rPr>
        <w:t>学院收取，支付宝/微信扫码、汇款。食宿费由酒店收取，现场支付。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EE7EC9">
        <w:rPr>
          <w:rFonts w:ascii="仿宋" w:eastAsia="仿宋" w:hAnsi="仿宋" w:cs="仿宋_GB2312" w:hint="eastAsia"/>
          <w:sz w:val="32"/>
          <w:szCs w:val="32"/>
        </w:rPr>
        <w:t>4.关于发票：培训费发票由学院提供；食宿发票由酒店提供。</w:t>
      </w:r>
    </w:p>
    <w:p w:rsidR="000B7323" w:rsidRPr="00EE7EC9" w:rsidRDefault="00000000" w:rsidP="00EE7EC9">
      <w:pPr>
        <w:widowControl/>
        <w:spacing w:line="360" w:lineRule="auto"/>
        <w:jc w:val="left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color w:val="000000"/>
          <w:sz w:val="32"/>
          <w:szCs w:val="32"/>
        </w:rPr>
        <w:t>七、结业证书</w:t>
      </w:r>
    </w:p>
    <w:p w:rsidR="000B7323" w:rsidRPr="00365A0B" w:rsidRDefault="00000000" w:rsidP="00365A0B">
      <w:pPr>
        <w:spacing w:line="360" w:lineRule="auto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365A0B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培训班结束后由学院颁发结业证书，并注明学时。继续教育学时认定事宜，烦请学员咨询当地主管部门。</w:t>
      </w:r>
    </w:p>
    <w:p w:rsidR="000B7323" w:rsidRPr="00EE7EC9" w:rsidRDefault="00000000" w:rsidP="00EE7EC9">
      <w:pPr>
        <w:widowControl/>
        <w:spacing w:line="360" w:lineRule="auto"/>
        <w:ind w:left="321" w:hangingChars="100" w:hanging="321"/>
        <w:jc w:val="left"/>
        <w:rPr>
          <w:rFonts w:ascii="仿宋" w:eastAsia="仿宋" w:hAnsi="仿宋" w:cs="仿宋_GB2312"/>
          <w:b/>
          <w:bCs/>
          <w:color w:val="000000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bCs/>
          <w:color w:val="000000"/>
          <w:sz w:val="32"/>
          <w:szCs w:val="32"/>
        </w:rPr>
        <w:t>八、报名咨询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EE7EC9">
        <w:rPr>
          <w:rFonts w:ascii="仿宋" w:eastAsia="仿宋" w:hAnsi="仿宋" w:cs="仿宋_GB2312" w:hint="eastAsia"/>
          <w:sz w:val="32"/>
          <w:szCs w:val="32"/>
        </w:rPr>
        <w:t>请参加人员填写《报名表》（附后），我们将在开课前一周向报名学员发送《开课通知》。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EE7EC9">
        <w:rPr>
          <w:rFonts w:ascii="仿宋" w:eastAsia="仿宋" w:hAnsi="仿宋" w:cs="仿宋_GB2312" w:hint="eastAsia"/>
          <w:sz w:val="32"/>
          <w:szCs w:val="32"/>
        </w:rPr>
        <w:lastRenderedPageBreak/>
        <w:t>报名咨询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EE7EC9">
        <w:rPr>
          <w:rFonts w:ascii="仿宋" w:eastAsia="仿宋" w:hAnsi="仿宋" w:cs="仿宋_GB2312" w:hint="eastAsia"/>
          <w:sz w:val="32"/>
          <w:szCs w:val="32"/>
        </w:rPr>
        <w:t>联系人：黄老师18610843353（同微信）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EE7EC9">
        <w:rPr>
          <w:rFonts w:ascii="仿宋" w:eastAsia="仿宋" w:hAnsi="仿宋" w:cs="仿宋_GB2312" w:hint="eastAsia"/>
          <w:sz w:val="32"/>
          <w:szCs w:val="32"/>
        </w:rPr>
        <w:t>邮箱：284828890@qq.com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EE7EC9">
        <w:rPr>
          <w:rFonts w:ascii="仿宋" w:eastAsia="仿宋" w:hAnsi="仿宋" w:cs="仿宋_GB2312" w:hint="eastAsia"/>
          <w:sz w:val="32"/>
          <w:szCs w:val="32"/>
        </w:rPr>
        <w:t>课程咨询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EE7EC9">
        <w:rPr>
          <w:rFonts w:ascii="仿宋" w:eastAsia="仿宋" w:hAnsi="仿宋" w:cs="仿宋_GB2312" w:hint="eastAsia"/>
          <w:sz w:val="32"/>
          <w:szCs w:val="32"/>
        </w:rPr>
        <w:t>联系人：马</w:t>
      </w:r>
      <w:r w:rsidRPr="00EE7EC9">
        <w:rPr>
          <w:rFonts w:ascii="仿宋" w:eastAsia="仿宋" w:hAnsi="仿宋" w:cs="仿宋_GB2312" w:hint="eastAsia"/>
          <w:sz w:val="32"/>
          <w:szCs w:val="32"/>
          <w:lang w:eastAsia="zh-Hans"/>
        </w:rPr>
        <w:t>老师</w:t>
      </w:r>
      <w:r w:rsidRPr="00EE7EC9">
        <w:rPr>
          <w:rFonts w:ascii="仿宋" w:eastAsia="仿宋" w:hAnsi="仿宋" w:cs="仿宋_GB2312" w:hint="eastAsia"/>
          <w:sz w:val="32"/>
          <w:szCs w:val="32"/>
        </w:rPr>
        <w:t xml:space="preserve">021-39768388 </w:t>
      </w:r>
    </w:p>
    <w:p w:rsidR="000B7323" w:rsidRPr="00EE7EC9" w:rsidRDefault="00000000" w:rsidP="00EE7EC9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EE7EC9">
        <w:rPr>
          <w:rFonts w:ascii="仿宋" w:eastAsia="仿宋" w:hAnsi="仿宋" w:cs="仿宋_GB2312" w:hint="eastAsia"/>
          <w:sz w:val="32"/>
          <w:szCs w:val="32"/>
        </w:rPr>
        <w:t>邮箱：maxiaochu@snai.edu</w:t>
      </w:r>
    </w:p>
    <w:p w:rsidR="000B7323" w:rsidRDefault="000B7323" w:rsidP="00EE7EC9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b/>
          <w:bCs/>
          <w:color w:val="000000" w:themeColor="text1"/>
          <w:sz w:val="32"/>
          <w:szCs w:val="32"/>
        </w:rPr>
      </w:pPr>
    </w:p>
    <w:p w:rsidR="00EE7EC9" w:rsidRDefault="00EE7EC9" w:rsidP="00EE7EC9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b/>
          <w:bCs/>
          <w:color w:val="000000" w:themeColor="text1"/>
          <w:sz w:val="32"/>
          <w:szCs w:val="32"/>
        </w:rPr>
      </w:pPr>
    </w:p>
    <w:p w:rsidR="00EE7EC9" w:rsidRDefault="00EE7EC9" w:rsidP="00EE7EC9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b/>
          <w:bCs/>
          <w:color w:val="000000" w:themeColor="text1"/>
          <w:sz w:val="32"/>
          <w:szCs w:val="32"/>
        </w:rPr>
      </w:pPr>
    </w:p>
    <w:p w:rsidR="00EE7EC9" w:rsidRDefault="00EE7EC9" w:rsidP="00EE7EC9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b/>
          <w:bCs/>
          <w:color w:val="000000" w:themeColor="text1"/>
          <w:sz w:val="32"/>
          <w:szCs w:val="32"/>
        </w:rPr>
      </w:pPr>
    </w:p>
    <w:p w:rsidR="00EE7EC9" w:rsidRDefault="00EE7EC9" w:rsidP="00EE7EC9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b/>
          <w:bCs/>
          <w:color w:val="000000" w:themeColor="text1"/>
          <w:sz w:val="32"/>
          <w:szCs w:val="32"/>
        </w:rPr>
      </w:pPr>
    </w:p>
    <w:p w:rsidR="00EE7EC9" w:rsidRDefault="00EE7EC9" w:rsidP="00EE7EC9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b/>
          <w:bCs/>
          <w:color w:val="000000" w:themeColor="text1"/>
          <w:sz w:val="32"/>
          <w:szCs w:val="32"/>
        </w:rPr>
      </w:pPr>
    </w:p>
    <w:p w:rsidR="00EE7EC9" w:rsidRDefault="00EE7EC9" w:rsidP="00EE7EC9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b/>
          <w:bCs/>
          <w:color w:val="000000" w:themeColor="text1"/>
          <w:sz w:val="32"/>
          <w:szCs w:val="32"/>
        </w:rPr>
      </w:pPr>
    </w:p>
    <w:p w:rsidR="00EE7EC9" w:rsidRDefault="00EE7EC9" w:rsidP="00EE7EC9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b/>
          <w:bCs/>
          <w:color w:val="000000" w:themeColor="text1"/>
          <w:sz w:val="32"/>
          <w:szCs w:val="32"/>
        </w:rPr>
      </w:pPr>
    </w:p>
    <w:p w:rsidR="00EE7EC9" w:rsidRDefault="00EE7EC9" w:rsidP="00EE7EC9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b/>
          <w:bCs/>
          <w:color w:val="000000" w:themeColor="text1"/>
          <w:sz w:val="32"/>
          <w:szCs w:val="32"/>
        </w:rPr>
      </w:pPr>
    </w:p>
    <w:p w:rsidR="00EE7EC9" w:rsidRPr="00EE7EC9" w:rsidRDefault="00EE7EC9" w:rsidP="00EE7EC9">
      <w:pPr>
        <w:tabs>
          <w:tab w:val="left" w:pos="360"/>
          <w:tab w:val="left" w:pos="540"/>
        </w:tabs>
        <w:spacing w:line="360" w:lineRule="auto"/>
        <w:rPr>
          <w:rFonts w:ascii="仿宋" w:eastAsia="仿宋" w:hAnsi="仿宋" w:cs="仿宋_GB2312"/>
          <w:b/>
          <w:bCs/>
          <w:color w:val="000000" w:themeColor="text1"/>
          <w:sz w:val="32"/>
          <w:szCs w:val="32"/>
        </w:rPr>
      </w:pPr>
    </w:p>
    <w:p w:rsidR="000B7323" w:rsidRPr="00EE7EC9" w:rsidRDefault="00000000" w:rsidP="00EE7EC9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 w:cs="仿宋_GB2312"/>
          <w:b/>
          <w:bCs/>
          <w:color w:val="000000" w:themeColor="text1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bCs/>
          <w:color w:val="000000" w:themeColor="text1"/>
          <w:sz w:val="32"/>
          <w:szCs w:val="32"/>
        </w:rPr>
        <w:t>附件二：</w:t>
      </w:r>
    </w:p>
    <w:p w:rsidR="000B7323" w:rsidRPr="00EE7EC9" w:rsidRDefault="00000000" w:rsidP="00EE7EC9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仿宋_GB2312"/>
          <w:b/>
          <w:bCs/>
          <w:color w:val="000000" w:themeColor="text1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bCs/>
          <w:color w:val="000000" w:themeColor="text1"/>
          <w:sz w:val="32"/>
          <w:szCs w:val="32"/>
        </w:rPr>
        <w:t>“业财融合实务与财务BP核心能力建设”研修班</w:t>
      </w:r>
    </w:p>
    <w:p w:rsidR="000B7323" w:rsidRPr="00EE7EC9" w:rsidRDefault="00000000" w:rsidP="00EE7EC9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仿宋_GB2312"/>
          <w:b/>
          <w:bCs/>
          <w:color w:val="000000" w:themeColor="text1"/>
          <w:sz w:val="32"/>
          <w:szCs w:val="32"/>
        </w:rPr>
      </w:pPr>
      <w:r w:rsidRPr="00EE7EC9">
        <w:rPr>
          <w:rFonts w:ascii="仿宋" w:eastAsia="仿宋" w:hAnsi="仿宋" w:cs="仿宋_GB2312" w:hint="eastAsia"/>
          <w:b/>
          <w:bCs/>
          <w:color w:val="000000" w:themeColor="text1"/>
          <w:sz w:val="32"/>
          <w:szCs w:val="32"/>
        </w:rPr>
        <w:t>报名表</w:t>
      </w:r>
    </w:p>
    <w:tbl>
      <w:tblPr>
        <w:tblpPr w:leftFromText="180" w:rightFromText="180" w:vertAnchor="text" w:horzAnchor="page" w:tblpX="1455" w:tblpY="156"/>
        <w:tblOverlap w:val="never"/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568"/>
        <w:gridCol w:w="567"/>
        <w:gridCol w:w="284"/>
        <w:gridCol w:w="425"/>
        <w:gridCol w:w="567"/>
        <w:gridCol w:w="425"/>
        <w:gridCol w:w="384"/>
        <w:gridCol w:w="183"/>
        <w:gridCol w:w="851"/>
        <w:gridCol w:w="850"/>
        <w:gridCol w:w="992"/>
        <w:gridCol w:w="1932"/>
      </w:tblGrid>
      <w:tr w:rsidR="000B7323">
        <w:trPr>
          <w:trHeight w:val="64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单位名称</w:t>
            </w:r>
          </w:p>
        </w:tc>
        <w:tc>
          <w:tcPr>
            <w:tcW w:w="8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autoSpaceDN w:val="0"/>
              <w:jc w:val="left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</w:tr>
      <w:tr w:rsidR="000B7323">
        <w:trPr>
          <w:trHeight w:val="5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联系人姓名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电话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邮箱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</w:tr>
      <w:tr w:rsidR="000B7323">
        <w:trPr>
          <w:trHeight w:val="5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autoSpaceDN w:val="0"/>
              <w:spacing w:before="156" w:after="156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单位所在地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bCs/>
                <w:color w:val="000000" w:themeColor="text1"/>
                <w:szCs w:val="21"/>
              </w:rPr>
              <w:t>省   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00000">
            <w:pPr>
              <w:pStyle w:val="a9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所属行业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bCs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年营收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color w:val="000000" w:themeColor="text1"/>
                <w:szCs w:val="21"/>
                <w:u w:val="single"/>
              </w:rPr>
              <w:t xml:space="preserve">       </w:t>
            </w:r>
            <w:r w:rsidRPr="00EE7EC9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（万）</w:t>
            </w:r>
          </w:p>
        </w:tc>
      </w:tr>
      <w:tr w:rsidR="000B7323">
        <w:trPr>
          <w:trHeight w:val="6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lastRenderedPageBreak/>
              <w:t>学员姓名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仿宋_GB2312"/>
                <w:b/>
                <w:color w:val="000000" w:themeColor="text1"/>
                <w:spacing w:val="-26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pacing w:val="-26"/>
                <w:szCs w:val="21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部门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职务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工作年限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手机号码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邮箱</w:t>
            </w:r>
          </w:p>
        </w:tc>
      </w:tr>
      <w:tr w:rsidR="000B7323">
        <w:trPr>
          <w:trHeight w:val="6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仿宋_GB2312"/>
                <w:b/>
                <w:color w:val="000000" w:themeColor="text1"/>
                <w:spacing w:val="-2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</w:tr>
      <w:tr w:rsidR="000B7323">
        <w:trPr>
          <w:trHeight w:val="6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仿宋_GB2312"/>
                <w:b/>
                <w:color w:val="000000" w:themeColor="text1"/>
                <w:spacing w:val="-2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</w:tr>
      <w:tr w:rsidR="000B7323">
        <w:trPr>
          <w:trHeight w:val="6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仿宋_GB2312"/>
                <w:b/>
                <w:color w:val="000000" w:themeColor="text1"/>
                <w:spacing w:val="-2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</w:tr>
      <w:tr w:rsidR="000B7323">
        <w:trPr>
          <w:trHeight w:val="6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仿宋_GB2312"/>
                <w:b/>
                <w:color w:val="000000" w:themeColor="text1"/>
                <w:spacing w:val="-2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</w:tr>
      <w:tr w:rsidR="000B7323">
        <w:trPr>
          <w:trHeight w:val="6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仿宋_GB2312"/>
                <w:b/>
                <w:color w:val="000000" w:themeColor="text1"/>
                <w:spacing w:val="-2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</w:tr>
      <w:tr w:rsidR="000B7323">
        <w:trPr>
          <w:trHeight w:val="6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仿宋_GB2312"/>
                <w:b/>
                <w:color w:val="000000" w:themeColor="text1"/>
                <w:spacing w:val="-2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</w:tr>
      <w:tr w:rsidR="000B7323">
        <w:trPr>
          <w:trHeight w:val="6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仿宋_GB2312"/>
                <w:b/>
                <w:color w:val="000000" w:themeColor="text1"/>
                <w:spacing w:val="-26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323" w:rsidRPr="00EE7EC9" w:rsidRDefault="000B732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</w:p>
        </w:tc>
      </w:tr>
      <w:tr w:rsidR="000B7323">
        <w:trPr>
          <w:trHeight w:val="1296"/>
        </w:trPr>
        <w:tc>
          <w:tcPr>
            <w:tcW w:w="4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报名程序：</w:t>
            </w:r>
          </w:p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仿宋_GB2312"/>
                <w:bCs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Cs/>
                <w:color w:val="000000" w:themeColor="text1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学院账户：</w:t>
            </w:r>
          </w:p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仿宋_GB2312"/>
                <w:bCs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Cs/>
                <w:color w:val="000000" w:themeColor="text1"/>
                <w:szCs w:val="21"/>
              </w:rPr>
              <w:t>学院开户行：中国建设银行上海徐泾支行</w:t>
            </w:r>
          </w:p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仿宋_GB2312"/>
                <w:bCs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Cs/>
                <w:color w:val="000000" w:themeColor="text1"/>
                <w:szCs w:val="21"/>
              </w:rPr>
              <w:t>单位名称：上海国家会计学院</w:t>
            </w:r>
          </w:p>
          <w:p w:rsidR="000B7323" w:rsidRPr="00EE7EC9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仿宋_GB2312"/>
                <w:bCs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Cs/>
                <w:color w:val="000000" w:themeColor="text1"/>
                <w:szCs w:val="21"/>
              </w:rPr>
              <w:t>汇款账号：31001984300059768088</w:t>
            </w:r>
          </w:p>
        </w:tc>
      </w:tr>
      <w:tr w:rsidR="000B7323">
        <w:trPr>
          <w:trHeight w:val="853"/>
        </w:trPr>
        <w:tc>
          <w:tcPr>
            <w:tcW w:w="92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323" w:rsidRPr="00EE7EC9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仿宋_GB2312"/>
                <w:b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/>
                <w:color w:val="000000" w:themeColor="text1"/>
                <w:szCs w:val="21"/>
              </w:rPr>
              <w:t>报名咨询：</w:t>
            </w:r>
          </w:p>
          <w:p w:rsidR="000B7323" w:rsidRPr="00EE7EC9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仿宋_GB2312"/>
                <w:bCs/>
                <w:color w:val="000000" w:themeColor="text1"/>
                <w:szCs w:val="21"/>
              </w:rPr>
            </w:pPr>
            <w:r w:rsidRPr="00EE7EC9">
              <w:rPr>
                <w:rFonts w:ascii="仿宋" w:eastAsia="仿宋" w:hAnsi="仿宋" w:cs="仿宋_GB2312" w:hint="eastAsia"/>
                <w:bCs/>
                <w:color w:val="000000" w:themeColor="text1"/>
                <w:szCs w:val="21"/>
              </w:rPr>
              <w:t xml:space="preserve">联系人：黄老师   手机：18610843353（同微信）     报名邮箱：284828890@qq.com     </w:t>
            </w:r>
          </w:p>
        </w:tc>
      </w:tr>
    </w:tbl>
    <w:p w:rsidR="000B7323" w:rsidRDefault="000B7323">
      <w:pPr>
        <w:rPr>
          <w:rFonts w:ascii="仿宋_GB2312" w:eastAsia="仿宋_GB2312" w:hAnsi="仿宋_GB2312" w:cs="仿宋_GB2312"/>
          <w:color w:val="000000" w:themeColor="text1"/>
        </w:rPr>
      </w:pPr>
    </w:p>
    <w:sectPr w:rsidR="000B7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23B" w:rsidRDefault="00AF023B">
      <w:r>
        <w:separator/>
      </w:r>
    </w:p>
  </w:endnote>
  <w:endnote w:type="continuationSeparator" w:id="0">
    <w:p w:rsidR="00AF023B" w:rsidRDefault="00AF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23B" w:rsidRDefault="00AF023B">
      <w:r>
        <w:separator/>
      </w:r>
    </w:p>
  </w:footnote>
  <w:footnote w:type="continuationSeparator" w:id="0">
    <w:p w:rsidR="00AF023B" w:rsidRDefault="00AF0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CD48CB"/>
    <w:multiLevelType w:val="singleLevel"/>
    <w:tmpl w:val="8BCD48C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B528E0E"/>
    <w:multiLevelType w:val="singleLevel"/>
    <w:tmpl w:val="EB528E0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BA9ABF5"/>
    <w:multiLevelType w:val="singleLevel"/>
    <w:tmpl w:val="3BA9ABF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074A6CB"/>
    <w:multiLevelType w:val="singleLevel"/>
    <w:tmpl w:val="4074A6C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8B17282"/>
    <w:multiLevelType w:val="multilevel"/>
    <w:tmpl w:val="78B1728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19336562">
    <w:abstractNumId w:val="4"/>
  </w:num>
  <w:num w:numId="2" w16cid:durableId="1375155272">
    <w:abstractNumId w:val="3"/>
  </w:num>
  <w:num w:numId="3" w16cid:durableId="1566379865">
    <w:abstractNumId w:val="0"/>
  </w:num>
  <w:num w:numId="4" w16cid:durableId="1682664207">
    <w:abstractNumId w:val="2"/>
  </w:num>
  <w:num w:numId="5" w16cid:durableId="78161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M3ZDExZmIxNzA0YjNhYzI5NTRlYjJjYTFlNTE2ZGIifQ=="/>
  </w:docVars>
  <w:rsids>
    <w:rsidRoot w:val="00A41193"/>
    <w:rsid w:val="FFDF9F8F"/>
    <w:rsid w:val="00004B11"/>
    <w:rsid w:val="00011440"/>
    <w:rsid w:val="00013A7F"/>
    <w:rsid w:val="00017CD6"/>
    <w:rsid w:val="00022F9B"/>
    <w:rsid w:val="000407D2"/>
    <w:rsid w:val="00050D94"/>
    <w:rsid w:val="00056DE8"/>
    <w:rsid w:val="00091A7E"/>
    <w:rsid w:val="00093C50"/>
    <w:rsid w:val="000A6228"/>
    <w:rsid w:val="000B23B1"/>
    <w:rsid w:val="000B5A82"/>
    <w:rsid w:val="000B7323"/>
    <w:rsid w:val="000D5C55"/>
    <w:rsid w:val="000E5263"/>
    <w:rsid w:val="000F4287"/>
    <w:rsid w:val="00107870"/>
    <w:rsid w:val="001126F9"/>
    <w:rsid w:val="00112715"/>
    <w:rsid w:val="001306C8"/>
    <w:rsid w:val="00137FE2"/>
    <w:rsid w:val="001444B5"/>
    <w:rsid w:val="00150A7C"/>
    <w:rsid w:val="001607E6"/>
    <w:rsid w:val="00165DE2"/>
    <w:rsid w:val="00185126"/>
    <w:rsid w:val="00192CAD"/>
    <w:rsid w:val="001A3297"/>
    <w:rsid w:val="001A7801"/>
    <w:rsid w:val="001B09D5"/>
    <w:rsid w:val="001F5F67"/>
    <w:rsid w:val="00206339"/>
    <w:rsid w:val="0020791F"/>
    <w:rsid w:val="0021517F"/>
    <w:rsid w:val="00230311"/>
    <w:rsid w:val="00230F8D"/>
    <w:rsid w:val="002312B8"/>
    <w:rsid w:val="00241C3B"/>
    <w:rsid w:val="002844BE"/>
    <w:rsid w:val="002A1100"/>
    <w:rsid w:val="002B1033"/>
    <w:rsid w:val="002C2582"/>
    <w:rsid w:val="002C551F"/>
    <w:rsid w:val="002D3AFF"/>
    <w:rsid w:val="002F79D4"/>
    <w:rsid w:val="00316054"/>
    <w:rsid w:val="003213CC"/>
    <w:rsid w:val="00337F12"/>
    <w:rsid w:val="00362A9E"/>
    <w:rsid w:val="00365A0B"/>
    <w:rsid w:val="00377768"/>
    <w:rsid w:val="00384DEB"/>
    <w:rsid w:val="003861DE"/>
    <w:rsid w:val="003927B9"/>
    <w:rsid w:val="003A00F2"/>
    <w:rsid w:val="003A40BD"/>
    <w:rsid w:val="003B255F"/>
    <w:rsid w:val="003B4EA7"/>
    <w:rsid w:val="003B76B0"/>
    <w:rsid w:val="003F55B2"/>
    <w:rsid w:val="003F5E66"/>
    <w:rsid w:val="00414686"/>
    <w:rsid w:val="00433AAA"/>
    <w:rsid w:val="00434790"/>
    <w:rsid w:val="00455C45"/>
    <w:rsid w:val="00457786"/>
    <w:rsid w:val="00460321"/>
    <w:rsid w:val="00462254"/>
    <w:rsid w:val="004625FD"/>
    <w:rsid w:val="00473A31"/>
    <w:rsid w:val="00475CC2"/>
    <w:rsid w:val="00475E97"/>
    <w:rsid w:val="00476994"/>
    <w:rsid w:val="00482613"/>
    <w:rsid w:val="004B0AA1"/>
    <w:rsid w:val="004D2E98"/>
    <w:rsid w:val="004E1EA2"/>
    <w:rsid w:val="004E6DD9"/>
    <w:rsid w:val="004F1993"/>
    <w:rsid w:val="004F59A5"/>
    <w:rsid w:val="00511041"/>
    <w:rsid w:val="005256A5"/>
    <w:rsid w:val="00537E76"/>
    <w:rsid w:val="00544E18"/>
    <w:rsid w:val="0054796A"/>
    <w:rsid w:val="005605F4"/>
    <w:rsid w:val="00565367"/>
    <w:rsid w:val="00586957"/>
    <w:rsid w:val="005957E0"/>
    <w:rsid w:val="005B1943"/>
    <w:rsid w:val="005B691D"/>
    <w:rsid w:val="005E2260"/>
    <w:rsid w:val="005E5386"/>
    <w:rsid w:val="005F3E87"/>
    <w:rsid w:val="005F4838"/>
    <w:rsid w:val="005F7263"/>
    <w:rsid w:val="006106FF"/>
    <w:rsid w:val="0065233A"/>
    <w:rsid w:val="006536DE"/>
    <w:rsid w:val="0066615D"/>
    <w:rsid w:val="00693A6C"/>
    <w:rsid w:val="00696AEB"/>
    <w:rsid w:val="006B323E"/>
    <w:rsid w:val="006B3505"/>
    <w:rsid w:val="006D0A45"/>
    <w:rsid w:val="006E16FA"/>
    <w:rsid w:val="007022F8"/>
    <w:rsid w:val="00722016"/>
    <w:rsid w:val="007338BC"/>
    <w:rsid w:val="0073611D"/>
    <w:rsid w:val="007365B9"/>
    <w:rsid w:val="00746859"/>
    <w:rsid w:val="007545A6"/>
    <w:rsid w:val="00764D95"/>
    <w:rsid w:val="0076634A"/>
    <w:rsid w:val="007672A7"/>
    <w:rsid w:val="0077258A"/>
    <w:rsid w:val="00786598"/>
    <w:rsid w:val="007908A7"/>
    <w:rsid w:val="007A1C06"/>
    <w:rsid w:val="007A5F49"/>
    <w:rsid w:val="007A7F47"/>
    <w:rsid w:val="007D0728"/>
    <w:rsid w:val="007D4B20"/>
    <w:rsid w:val="007D5AE7"/>
    <w:rsid w:val="007E17A8"/>
    <w:rsid w:val="008024BF"/>
    <w:rsid w:val="0081608B"/>
    <w:rsid w:val="00817513"/>
    <w:rsid w:val="00827CF1"/>
    <w:rsid w:val="00831817"/>
    <w:rsid w:val="00840976"/>
    <w:rsid w:val="00863F90"/>
    <w:rsid w:val="00873D67"/>
    <w:rsid w:val="008808D5"/>
    <w:rsid w:val="008A7496"/>
    <w:rsid w:val="008B5CB1"/>
    <w:rsid w:val="008C18B9"/>
    <w:rsid w:val="008C2870"/>
    <w:rsid w:val="008C4FA3"/>
    <w:rsid w:val="008C691D"/>
    <w:rsid w:val="008D4A40"/>
    <w:rsid w:val="008F18BE"/>
    <w:rsid w:val="009032A4"/>
    <w:rsid w:val="00924E0A"/>
    <w:rsid w:val="00935BBF"/>
    <w:rsid w:val="00973B85"/>
    <w:rsid w:val="009A5182"/>
    <w:rsid w:val="009C24DD"/>
    <w:rsid w:val="009C2D4A"/>
    <w:rsid w:val="009C73E1"/>
    <w:rsid w:val="009D1D6F"/>
    <w:rsid w:val="00A12497"/>
    <w:rsid w:val="00A358EF"/>
    <w:rsid w:val="00A36AD4"/>
    <w:rsid w:val="00A41193"/>
    <w:rsid w:val="00A41F6A"/>
    <w:rsid w:val="00A46D80"/>
    <w:rsid w:val="00A54459"/>
    <w:rsid w:val="00A71B93"/>
    <w:rsid w:val="00A72311"/>
    <w:rsid w:val="00A8429F"/>
    <w:rsid w:val="00A9152B"/>
    <w:rsid w:val="00A9209A"/>
    <w:rsid w:val="00AA17DE"/>
    <w:rsid w:val="00AB0C73"/>
    <w:rsid w:val="00AB67E8"/>
    <w:rsid w:val="00AC591E"/>
    <w:rsid w:val="00AD2E82"/>
    <w:rsid w:val="00AE2305"/>
    <w:rsid w:val="00AF023B"/>
    <w:rsid w:val="00B01877"/>
    <w:rsid w:val="00B055A3"/>
    <w:rsid w:val="00B1044A"/>
    <w:rsid w:val="00B105E9"/>
    <w:rsid w:val="00B1279A"/>
    <w:rsid w:val="00B31E84"/>
    <w:rsid w:val="00B35A7F"/>
    <w:rsid w:val="00B41552"/>
    <w:rsid w:val="00B41D4D"/>
    <w:rsid w:val="00B53CE1"/>
    <w:rsid w:val="00B62AAC"/>
    <w:rsid w:val="00B75B43"/>
    <w:rsid w:val="00B95970"/>
    <w:rsid w:val="00BA3358"/>
    <w:rsid w:val="00BD0158"/>
    <w:rsid w:val="00BE123D"/>
    <w:rsid w:val="00C02C70"/>
    <w:rsid w:val="00C06407"/>
    <w:rsid w:val="00C32E2E"/>
    <w:rsid w:val="00C36561"/>
    <w:rsid w:val="00C6693F"/>
    <w:rsid w:val="00C84DF2"/>
    <w:rsid w:val="00CA02D5"/>
    <w:rsid w:val="00CA3287"/>
    <w:rsid w:val="00CB687F"/>
    <w:rsid w:val="00CC210E"/>
    <w:rsid w:val="00CC5712"/>
    <w:rsid w:val="00CD4147"/>
    <w:rsid w:val="00CD6E39"/>
    <w:rsid w:val="00CE51D1"/>
    <w:rsid w:val="00D02A68"/>
    <w:rsid w:val="00D03D68"/>
    <w:rsid w:val="00D073DE"/>
    <w:rsid w:val="00D17299"/>
    <w:rsid w:val="00D22621"/>
    <w:rsid w:val="00D2546A"/>
    <w:rsid w:val="00D30BD6"/>
    <w:rsid w:val="00D519FC"/>
    <w:rsid w:val="00D53E87"/>
    <w:rsid w:val="00D579F9"/>
    <w:rsid w:val="00D6286E"/>
    <w:rsid w:val="00D670CE"/>
    <w:rsid w:val="00D82EBC"/>
    <w:rsid w:val="00D97BD0"/>
    <w:rsid w:val="00DA1312"/>
    <w:rsid w:val="00DB5B46"/>
    <w:rsid w:val="00DB7F94"/>
    <w:rsid w:val="00DD09A3"/>
    <w:rsid w:val="00DE5DCA"/>
    <w:rsid w:val="00E14551"/>
    <w:rsid w:val="00E179C5"/>
    <w:rsid w:val="00E17EFE"/>
    <w:rsid w:val="00E35C48"/>
    <w:rsid w:val="00E36C95"/>
    <w:rsid w:val="00E40219"/>
    <w:rsid w:val="00E46A7C"/>
    <w:rsid w:val="00E47FA5"/>
    <w:rsid w:val="00E87C75"/>
    <w:rsid w:val="00E973F1"/>
    <w:rsid w:val="00EB0D95"/>
    <w:rsid w:val="00EB53E1"/>
    <w:rsid w:val="00EC79BF"/>
    <w:rsid w:val="00ED31C1"/>
    <w:rsid w:val="00EE7EC9"/>
    <w:rsid w:val="00F06E05"/>
    <w:rsid w:val="00F14CA4"/>
    <w:rsid w:val="00F158E0"/>
    <w:rsid w:val="00F16A77"/>
    <w:rsid w:val="00F17BA6"/>
    <w:rsid w:val="00F233A8"/>
    <w:rsid w:val="00F464E2"/>
    <w:rsid w:val="00F714D0"/>
    <w:rsid w:val="00F86CA3"/>
    <w:rsid w:val="00F97596"/>
    <w:rsid w:val="00FA01EF"/>
    <w:rsid w:val="00FD2E17"/>
    <w:rsid w:val="00FD3114"/>
    <w:rsid w:val="00FF6661"/>
    <w:rsid w:val="0A0A57FB"/>
    <w:rsid w:val="10437D3D"/>
    <w:rsid w:val="126262F3"/>
    <w:rsid w:val="1D80035E"/>
    <w:rsid w:val="41B3051C"/>
    <w:rsid w:val="4BE71561"/>
    <w:rsid w:val="624A4C18"/>
    <w:rsid w:val="6B9D2F4E"/>
    <w:rsid w:val="7E755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834980"/>
  <w15:docId w15:val="{7164B23F-E7A0-1F43-B3B2-A86B79E8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dong'gen</dc:creator>
  <cp:lastModifiedBy>黑洋酥小汤圆</cp:lastModifiedBy>
  <cp:revision>29</cp:revision>
  <dcterms:created xsi:type="dcterms:W3CDTF">2023-11-30T18:24:00Z</dcterms:created>
  <dcterms:modified xsi:type="dcterms:W3CDTF">2026-04-03T01:08:00Z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C4BD10858C0243788722BA058DD340E0_13</vt:lpwstr>
  </property>
  <property fmtid="{D5CDD505-2E9C-101B-9397-08002B2CF9AE}" pid="4" name="KSOTemplateDocerSaveRecord">
    <vt:lpwstr>eyJoZGlkIjoiYmM3ZDExZmIxNzA0YjNhYzI5NTRlYjJjYTFlNTE2ZGIiLCJ1c2VySWQiOiIxNDczNTgxMzkxIn0=</vt:lpwstr>
  </property>
</Properties>
</file>