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D07A">
      <w:pPr>
        <w:jc w:val="distribute"/>
        <w:rPr>
          <w:rFonts w:ascii="Kaiti SC" w:hAnsi="Kaiti SC" w:eastAsia="Kaiti SC" w:cs="楷体"/>
          <w:b w:val="0"/>
          <w:bCs/>
          <w:color w:val="FF3300"/>
          <w:spacing w:val="-40"/>
          <w:sz w:val="96"/>
          <w:szCs w:val="96"/>
        </w:rPr>
      </w:pPr>
    </w:p>
    <w:p w14:paraId="79325899">
      <w:pPr>
        <w:jc w:val="center"/>
        <w:outlineLvl w:val="0"/>
        <w:rPr>
          <w:rFonts w:ascii="宋体" w:eastAsia="宋体"/>
          <w:b w:val="0"/>
          <w:bCs/>
          <w:color w:val="FF3300"/>
          <w:spacing w:val="-40"/>
          <w:sz w:val="84"/>
          <w:szCs w:val="84"/>
        </w:rPr>
      </w:pPr>
      <w:r>
        <w:rPr>
          <w:rFonts w:hint="eastAsia" w:ascii="宋体" w:eastAsia="宋体"/>
          <w:bCs/>
          <w:color w:val="FF3300"/>
          <w:spacing w:val="-40"/>
          <w:sz w:val="84"/>
          <w:szCs w:val="84"/>
        </w:rPr>
        <w:t>上海国家会计学院</w:t>
      </w:r>
    </w:p>
    <w:p w14:paraId="3221AFD1">
      <w:pPr>
        <w:rPr>
          <w:rFonts w:ascii="Songti SC" w:hAnsi="Songti SC" w:eastAsia="Songti SC"/>
          <w:b w:val="0"/>
          <w:bCs/>
          <w:sz w:val="11"/>
        </w:rPr>
      </w:pPr>
    </w:p>
    <w:p w14:paraId="3CDD0535">
      <w:pPr>
        <w:jc w:val="center"/>
        <w:outlineLvl w:val="0"/>
        <w:rPr>
          <w:rFonts w:ascii="宋体" w:eastAsia="宋体" w:cs="微软雅黑"/>
          <w:b w:val="0"/>
        </w:rPr>
      </w:pPr>
      <w:r>
        <w:rPr>
          <w:rFonts w:hint="eastAsia" w:ascii="宋体" w:eastAsia="宋体" w:cs="微软雅黑"/>
          <w:b w:val="0"/>
        </w:rPr>
        <w:t>上国会培〔20</w:t>
      </w:r>
      <w:r>
        <w:rPr>
          <w:rFonts w:ascii="宋体" w:eastAsia="宋体" w:cs="微软雅黑"/>
          <w:b w:val="0"/>
        </w:rPr>
        <w:t>25</w:t>
      </w:r>
      <w:r>
        <w:rPr>
          <w:rFonts w:hint="eastAsia" w:ascii="宋体" w:eastAsia="宋体" w:cs="微软雅黑"/>
          <w:b w:val="0"/>
        </w:rPr>
        <w:t>〕</w:t>
      </w:r>
      <w:r>
        <w:rPr>
          <w:rFonts w:ascii="宋体" w:eastAsia="宋体" w:cs="微软雅黑"/>
          <w:b w:val="0"/>
        </w:rPr>
        <w:t>39</w:t>
      </w:r>
      <w:r>
        <w:rPr>
          <w:rFonts w:hint="eastAsia" w:ascii="宋体" w:eastAsia="宋体" w:cs="微软雅黑"/>
          <w:b w:val="0"/>
        </w:rPr>
        <w:t>号</w:t>
      </w:r>
    </w:p>
    <w:p w14:paraId="682663BB">
      <w:pPr>
        <w:jc w:val="center"/>
        <w:rPr>
          <w:rFonts w:hAnsi="楷体" w:cs="楷体"/>
          <w:b w:val="0"/>
          <w:bCs/>
          <w:sz w:val="20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12700" r="9525" b="19050"/>
                <wp:wrapNone/>
                <wp:docPr id="174960491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22.3pt;height:1.1pt;width:430.05pt;z-index:251659264;mso-width-relative:page;mso-height-relative:page;" filled="f" stroked="t" coordsize="21600,21600" o:gfxdata="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uIp3/TAAAABgEAAA8AAAAA&#10;AAAAAQAgAAAAIgAAAGRycy9kb3ducmV2LnhtbFBLAQIUABQAAAAIAIdO4kBhgVAL4AEAALcDAAAO&#10;AAAAAAAAAAEAIAAAACIBAABkcnMvZTJvRG9jLnhtbFBLBQYAAAAABgAGAFkBAAB0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C484B69">
      <w:pPr>
        <w:jc w:val="center"/>
        <w:rPr>
          <w:rFonts w:ascii="黑体" w:hAnsi="黑体" w:eastAsia="黑体"/>
          <w:sz w:val="44"/>
          <w:szCs w:val="44"/>
        </w:rPr>
      </w:pPr>
    </w:p>
    <w:p w14:paraId="1F6E288B">
      <w:pPr>
        <w:jc w:val="center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关于举办“</w:t>
      </w:r>
      <w:bookmarkStart w:id="0" w:name="OLE_LINK1"/>
      <w:bookmarkStart w:id="1" w:name="OLE_LINK2"/>
      <w:r>
        <w:rPr>
          <w:rFonts w:hint="eastAsia" w:ascii="黑体" w:hAnsi="黑体" w:eastAsia="黑体"/>
        </w:rPr>
        <w:t>会计准则执行中热点难点问题解析</w:t>
      </w:r>
      <w:bookmarkEnd w:id="0"/>
      <w:bookmarkEnd w:id="1"/>
      <w:r>
        <w:rPr>
          <w:rFonts w:hint="eastAsia" w:ascii="黑体" w:hAnsi="黑体" w:eastAsia="黑体"/>
        </w:rPr>
        <w:t>”（线上+线下）研修班的通知</w:t>
      </w:r>
    </w:p>
    <w:p w14:paraId="53B97D9D">
      <w:pPr>
        <w:rPr>
          <w:b w:val="0"/>
          <w:bCs/>
        </w:rPr>
      </w:pPr>
    </w:p>
    <w:p w14:paraId="484D57F3">
      <w:pPr>
        <w:ind w:firstLine="0" w:firstLineChars="0"/>
        <w:rPr>
          <w:b w:val="0"/>
          <w:bCs/>
        </w:rPr>
      </w:pPr>
      <w:r>
        <w:rPr>
          <w:rFonts w:hint="eastAsia"/>
          <w:b w:val="0"/>
          <w:bCs/>
        </w:rPr>
        <w:t>各相关单位：</w:t>
      </w:r>
    </w:p>
    <w:p w14:paraId="49DAC327">
      <w:pPr>
        <w:ind w:firstLine="64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近年来财政部修订了多项会计准则，包括《收入》《金融工具确认与计量》《租赁》《政府补助》《持有待售》等，报表格式也几次发文进行了修订。一方面，广大学员对这些新准则尚未完全掌握吃透，另一方面这些新准则在执行中遇到新问题迫使财政部门“打补丁”完善规定。财政部不断出台企业会计准则实务问答、应用案例、实施问答，持续发布新的企业会计准则解释。证监会也先后发布了</w:t>
      </w:r>
      <w:r>
        <w:rPr>
          <w:rFonts w:hint="eastAsia"/>
          <w:b w:val="0"/>
          <w:bCs/>
          <w:lang w:eastAsia="zh-CN"/>
        </w:rPr>
        <w:t>五</w:t>
      </w:r>
      <w:r>
        <w:rPr>
          <w:rFonts w:hint="eastAsia"/>
          <w:b w:val="0"/>
          <w:bCs/>
        </w:rPr>
        <w:t>期《监管规则适用指引——会计类》。财务人员需要及时了解掌握这些文件的内容，持续更新自己的账务处理技能。</w:t>
      </w:r>
    </w:p>
    <w:p w14:paraId="03A7005B">
      <w:pPr>
        <w:spacing w:line="240" w:lineRule="auto"/>
        <w:ind w:firstLine="640" w:firstLineChars="200"/>
        <w:jc w:val="left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聚焦于最近两年财政部等部门颁布的会计准则新规的同时，</w:t>
      </w:r>
      <w:bookmarkStart w:id="2" w:name="_Hlk161734612"/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本课程老师对新老准则执行中存在的问题持续跟踪，归纳研究会计监管部门统计出的近年高频问题。企业因会计差错被处罚，通常都是这些方面有意或无意处理失当。为此，授课老师从监管部门搜寻了大量的真实案例，对这些问题涉及的知识点一一梳理，涉及的易错点一一标注，引导财务人员精准识别财务“雷区”，轻松避免会计差错；增强学员对准则疑难问题的理解与处理能力，正确高效地提供财务信息。</w:t>
      </w:r>
      <w:bookmarkEnd w:id="2"/>
    </w:p>
    <w:p w14:paraId="3B2C69DA">
      <w:pPr>
        <w:ind w:firstLine="640" w:firstLineChars="200"/>
        <w:rPr>
          <w:b w:val="0"/>
          <w:bCs/>
        </w:rPr>
      </w:pPr>
      <w:r>
        <w:rPr>
          <w:rFonts w:hint="eastAsia"/>
          <w:b w:val="0"/>
          <w:bCs/>
        </w:rPr>
        <w:t>上海国家会计学院将陆续举办《会计准则执行中热点难点问题解析》课程。</w:t>
      </w:r>
    </w:p>
    <w:p w14:paraId="546E9DC5">
      <w:pPr>
        <w:ind w:firstLine="640" w:firstLineChars="200"/>
        <w:outlineLvl w:val="1"/>
        <w:rPr>
          <w:b w:val="0"/>
          <w:bCs/>
        </w:rPr>
      </w:pPr>
      <w:r>
        <w:rPr>
          <w:rFonts w:hint="eastAsia"/>
          <w:b w:val="0"/>
          <w:bCs/>
        </w:rPr>
        <w:t>附件：一、课程简介</w:t>
      </w:r>
    </w:p>
    <w:p w14:paraId="7667F4D8">
      <w:pPr>
        <w:ind w:firstLine="1600" w:firstLineChars="500"/>
        <w:outlineLvl w:val="0"/>
        <w:rPr>
          <w:b w:val="0"/>
          <w:bCs/>
        </w:rPr>
      </w:pPr>
      <w:r>
        <w:rPr>
          <w:rFonts w:hint="eastAsia"/>
          <w:b w:val="0"/>
          <w:bCs/>
        </w:rPr>
        <w:t>二、报名回执表</w:t>
      </w:r>
    </w:p>
    <w:p w14:paraId="5D94CA44">
      <w:pPr>
        <w:rPr>
          <w:b w:val="0"/>
          <w:bCs/>
        </w:rPr>
      </w:pPr>
    </w:p>
    <w:p w14:paraId="6CD3F280">
      <w:pPr>
        <w:rPr>
          <w:b w:val="0"/>
          <w:bCs/>
        </w:rPr>
      </w:pPr>
    </w:p>
    <w:p w14:paraId="593091D1">
      <w:pPr>
        <w:rPr>
          <w:b w:val="0"/>
          <w:bCs/>
        </w:rPr>
      </w:pPr>
    </w:p>
    <w:p w14:paraId="7EB83236">
      <w:pPr>
        <w:rPr>
          <w:b w:val="0"/>
          <w:bCs/>
        </w:rPr>
      </w:pPr>
    </w:p>
    <w:p w14:paraId="5610CD94">
      <w:pPr>
        <w:widowControl/>
        <w:jc w:val="left"/>
        <w:rPr>
          <w:rFonts w:hint="eastAsia" w:cs="微软雅黑"/>
        </w:rPr>
      </w:pPr>
    </w:p>
    <w:p w14:paraId="4C1D1779">
      <w:pPr>
        <w:jc w:val="right"/>
        <w:rPr>
          <w:rFonts w:cs="微软雅黑"/>
          <w:b w:val="0"/>
          <w:bCs/>
        </w:rPr>
      </w:pPr>
      <w:r>
        <w:rPr>
          <w:rFonts w:hint="eastAsia" w:cs="微软雅黑"/>
          <w:b w:val="0"/>
          <w:bCs/>
        </w:rPr>
        <w:t>上海国家会计学院</w:t>
      </w:r>
      <w:r>
        <w:rPr>
          <w:rFonts w:hint="eastAsia"/>
          <w:b w:val="0"/>
          <w:bCs/>
        </w:rPr>
        <w:t>教务二部</w:t>
      </w:r>
    </w:p>
    <w:p w14:paraId="1AF68C32">
      <w:pPr>
        <w:jc w:val="center"/>
        <w:outlineLvl w:val="0"/>
        <w:rPr>
          <w:rFonts w:hint="eastAsia" w:cs="微软雅黑"/>
          <w:b w:val="0"/>
          <w:bCs/>
        </w:rPr>
      </w:pPr>
      <w:r>
        <w:rPr>
          <w:rFonts w:hint="eastAsia" w:cs="微软雅黑"/>
          <w:b w:val="0"/>
          <w:bCs/>
        </w:rPr>
        <w:t xml:space="preserve">                                       </w:t>
      </w:r>
      <w:r>
        <w:rPr>
          <w:rFonts w:cs="微软雅黑"/>
          <w:b w:val="0"/>
          <w:bCs/>
        </w:rPr>
        <w:t>2025</w:t>
      </w:r>
      <w:r>
        <w:rPr>
          <w:rFonts w:hint="eastAsia" w:cs="微软雅黑"/>
          <w:b w:val="0"/>
          <w:bCs/>
        </w:rPr>
        <w:t>年</w:t>
      </w:r>
      <w:r>
        <w:rPr>
          <w:rFonts w:hint="eastAsia" w:cs="微软雅黑"/>
          <w:b w:val="0"/>
          <w:bCs/>
          <w:lang w:val="en-US" w:eastAsia="zh-CN"/>
        </w:rPr>
        <w:t>9</w:t>
      </w:r>
      <w:r>
        <w:rPr>
          <w:rFonts w:hint="eastAsia" w:cs="微软雅黑"/>
          <w:b w:val="0"/>
          <w:bCs/>
        </w:rPr>
        <w:t>月</w:t>
      </w:r>
    </w:p>
    <w:p w14:paraId="65790A28">
      <w:pPr>
        <w:jc w:val="center"/>
        <w:outlineLvl w:val="0"/>
        <w:rPr>
          <w:rFonts w:hint="eastAsia" w:cs="微软雅黑"/>
          <w:b w:val="0"/>
          <w:bCs/>
        </w:rPr>
      </w:pPr>
    </w:p>
    <w:p w14:paraId="0E9EBB51">
      <w:pPr>
        <w:jc w:val="center"/>
        <w:outlineLvl w:val="0"/>
        <w:rPr>
          <w:rFonts w:hint="eastAsia" w:cs="微软雅黑"/>
          <w:b w:val="0"/>
          <w:bCs/>
        </w:rPr>
      </w:pPr>
    </w:p>
    <w:p w14:paraId="4B0DC290">
      <w:pPr>
        <w:rPr>
          <w:rFonts w:cs="微软雅黑"/>
          <w:b w:val="0"/>
          <w:bCs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306705</wp:posOffset>
                </wp:positionV>
                <wp:extent cx="5715000" cy="28575"/>
                <wp:effectExtent l="0" t="6350" r="0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7783195"/>
                          <a:ext cx="5715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45pt;margin-top:24.15pt;height:2.25pt;width:450pt;z-index:251661312;mso-width-relative:page;mso-height-relative:page;" filled="f" stroked="t" coordsize="21600,21600" o:gfxdata="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O2UqdcAAAAJAQAADwAA&#10;AAAAAAABACAAAAAiAAAAZHJzL2Rvd25yZXYueG1sUEsBAhQAFAAAAAgAh07iQFQxcCgXAgAABAQA&#10;AA4AAAAAAAAAAQAgAAAAJgEAAGRycy9lMm9Eb2MueG1sUEsFBgAAAAAGAAYAWQEAAK8FAAAAAA=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2023026">
      <w:pPr>
        <w:rPr>
          <w:rFonts w:hint="eastAsia" w:cs="微软雅黑"/>
          <w:b w:val="0"/>
          <w:bCs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461010</wp:posOffset>
                </wp:positionV>
                <wp:extent cx="5715000" cy="28575"/>
                <wp:effectExtent l="0" t="6350" r="0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8268970"/>
                          <a:ext cx="5715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9.2pt;margin-top:36.3pt;height:2.25pt;width:450pt;z-index:251660288;mso-width-relative:page;mso-height-relative:page;" filled="f" stroked="t" coordsize="21600,21600" o:gfxdata="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aQQ5NUAAAAJAQAADwAAAAAAAAAB&#10;ACAAAAAiAAAAZHJzL2Rvd25yZXYueG1sUEsBAhQAFAAAAAgAh07iQPgw4+MTAgAABQQAAA4AAAAA&#10;AAAAAQAgAAAAJAEAAGRycy9lMm9Eb2MueG1sUEsFBgAAAAAGAAYAWQEAAKkFAAAAAA=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微软雅黑"/>
          <w:b w:val="0"/>
          <w:bCs/>
        </w:rPr>
        <w:t>上海国家会计学院</w:t>
      </w:r>
      <w:r>
        <w:rPr>
          <w:rFonts w:hint="eastAsia"/>
          <w:b w:val="0"/>
          <w:bCs/>
        </w:rPr>
        <w:t>教务二部</w:t>
      </w:r>
      <w:r>
        <w:rPr>
          <w:b w:val="0"/>
          <w:bCs/>
        </w:rPr>
        <w:t xml:space="preserve">         </w:t>
      </w:r>
      <w:r>
        <w:rPr>
          <w:rFonts w:hint="eastAsia"/>
          <w:b w:val="0"/>
          <w:bCs/>
        </w:rPr>
        <w:t xml:space="preserve">     </w:t>
      </w:r>
      <w:r>
        <w:rPr>
          <w:rFonts w:cs="微软雅黑"/>
          <w:b w:val="0"/>
          <w:bCs/>
        </w:rPr>
        <w:t>2025</w:t>
      </w:r>
      <w:r>
        <w:rPr>
          <w:rFonts w:hint="eastAsia" w:cs="微软雅黑"/>
          <w:b w:val="0"/>
          <w:bCs/>
        </w:rPr>
        <w:t>年</w:t>
      </w:r>
      <w:r>
        <w:rPr>
          <w:rFonts w:hint="eastAsia" w:cs="微软雅黑"/>
          <w:b w:val="0"/>
          <w:bCs/>
          <w:lang w:val="en-US" w:eastAsia="zh-CN"/>
        </w:rPr>
        <w:t>9</w:t>
      </w:r>
      <w:r>
        <w:rPr>
          <w:rFonts w:hint="eastAsia" w:cs="微软雅黑"/>
          <w:b w:val="0"/>
          <w:bCs/>
        </w:rPr>
        <w:t>月印</w:t>
      </w:r>
    </w:p>
    <w:p w14:paraId="5E93B4AC">
      <w:pPr>
        <w:outlineLvl w:val="0"/>
        <w:rPr>
          <w:rFonts w:hint="eastAsia" w:ascii="黑体" w:hAnsi="黑体" w:eastAsia="黑体" w:cs="宋体"/>
          <w:b w:val="0"/>
          <w:bCs/>
          <w:kern w:val="0"/>
        </w:rPr>
      </w:pPr>
    </w:p>
    <w:p w14:paraId="13D8D6FD">
      <w:pPr>
        <w:outlineLvl w:val="0"/>
        <w:rPr>
          <w:rFonts w:ascii="黑体" w:hAnsi="黑体" w:eastAsia="黑体" w:cs="宋体"/>
          <w:b w:val="0"/>
          <w:bCs/>
          <w:kern w:val="0"/>
        </w:rPr>
      </w:pPr>
      <w:r>
        <w:rPr>
          <w:rFonts w:hint="eastAsia" w:ascii="黑体" w:hAnsi="黑体" w:eastAsia="黑体" w:cs="宋体"/>
          <w:b w:val="0"/>
          <w:bCs/>
          <w:kern w:val="0"/>
        </w:rPr>
        <w:t>附件一：课程简介</w:t>
      </w:r>
    </w:p>
    <w:p w14:paraId="3574C965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一、培训安排</w:t>
      </w:r>
    </w:p>
    <w:p w14:paraId="307C1215">
      <w:pPr>
        <w:rPr>
          <w:rFonts w:hAnsi="仿宋"/>
          <w:b w:val="0"/>
          <w:bCs/>
        </w:rPr>
      </w:pPr>
      <w:r>
        <w:rPr>
          <w:rFonts w:hint="eastAsia" w:hAnsi="仿宋"/>
          <w:b w:val="0"/>
          <w:bCs/>
        </w:rPr>
        <w:t>1.培训时间地点：</w:t>
      </w:r>
    </w:p>
    <w:p w14:paraId="65106432">
      <w:pPr>
        <w:pStyle w:val="5"/>
        <w:spacing w:line="360" w:lineRule="auto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期：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日-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天），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日报到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上海国家会计学院</w:t>
      </w:r>
    </w:p>
    <w:p w14:paraId="50E9B678">
      <w:pPr>
        <w:rPr>
          <w:rFonts w:hAnsi="仿宋"/>
          <w:b w:val="0"/>
          <w:bCs/>
        </w:rPr>
      </w:pPr>
      <w:r>
        <w:rPr>
          <w:rFonts w:hint="eastAsia" w:hAnsi="仿宋"/>
          <w:b w:val="0"/>
          <w:bCs/>
        </w:rPr>
        <w:t>2.线下面授+线上直播同步进行，学员可自主选择，凡参训学员皆提供14天录播回看。（如线上授课因故取消，本期课程不提供录播回看。）</w:t>
      </w:r>
    </w:p>
    <w:p w14:paraId="166F7C4F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二、课程目标</w:t>
      </w:r>
      <w:bookmarkStart w:id="4" w:name="_GoBack"/>
      <w:bookmarkEnd w:id="4"/>
    </w:p>
    <w:p w14:paraId="492D8C9E">
      <w:pPr>
        <w:pStyle w:val="5"/>
        <w:outlineLvl w:val="1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 了解会计准则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最新变化内容与背景</w:t>
      </w:r>
    </w:p>
    <w:p w14:paraId="6D034C3C">
      <w:pPr>
        <w:pStyle w:val="5"/>
        <w:outlineLvl w:val="1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 加深对疑难准则与准则难点的理解</w:t>
      </w:r>
    </w:p>
    <w:p w14:paraId="65943D35">
      <w:pPr>
        <w:pStyle w:val="5"/>
        <w:outlineLvl w:val="1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 轻松应对棘手复杂业务的会计处理</w:t>
      </w:r>
    </w:p>
    <w:p w14:paraId="417D1365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三、培训对象</w:t>
      </w:r>
    </w:p>
    <w:p w14:paraId="2F0AC8CE">
      <w:pPr>
        <w:rPr>
          <w:b w:val="0"/>
          <w:bCs/>
        </w:rPr>
      </w:pPr>
      <w:bookmarkStart w:id="3" w:name="_Hlk153707368"/>
      <w:r>
        <w:rPr>
          <w:rFonts w:hint="eastAsia"/>
          <w:b w:val="0"/>
          <w:bCs/>
        </w:rPr>
        <w:t>单位负责人、会计机构负责人、会计主管人员、会计人员；审计经理、审计主管、会计师事务所从业人员、高校教师。</w:t>
      </w:r>
    </w:p>
    <w:bookmarkEnd w:id="3"/>
    <w:p w14:paraId="0CF473D5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四、课程内容</w:t>
      </w:r>
    </w:p>
    <w:p w14:paraId="16150DA9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一</w:t>
      </w:r>
      <w:r>
        <w:rPr>
          <w:rFonts w:hint="eastAsia"/>
          <w:b/>
          <w:bCs w:val="0"/>
        </w:rPr>
        <w:t>）我国会计准则体系</w:t>
      </w:r>
    </w:p>
    <w:p w14:paraId="42F294D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1.统一的会计制度</w:t>
      </w:r>
    </w:p>
    <w:p w14:paraId="1DF6A32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2.会计准则体系体例【图示：我国会计准则体系】</w:t>
      </w:r>
    </w:p>
    <w:p w14:paraId="06D3BAC5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3.近年准则变革一览</w:t>
      </w:r>
    </w:p>
    <w:p w14:paraId="5FD1E651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）收入准则执行中问题</w:t>
      </w:r>
    </w:p>
    <w:p w14:paraId="7082339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1.时段法与时点法【案例：销售设备并安装】</w:t>
      </w:r>
    </w:p>
    <w:p w14:paraId="305562B6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2.主要责任人与代理人【多个案例】</w:t>
      </w:r>
    </w:p>
    <w:p w14:paraId="4BE37749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3.单项履约义务识别【案例：房地产企业销售住宅】</w:t>
      </w:r>
    </w:p>
    <w:p w14:paraId="18751CEC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4.可变对价【案例：暂定价格的销售】</w:t>
      </w:r>
    </w:p>
    <w:p w14:paraId="76B7B81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5.销售返利</w:t>
      </w:r>
    </w:p>
    <w:p w14:paraId="67C53552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）租赁准则执行中问题</w:t>
      </w:r>
    </w:p>
    <w:p w14:paraId="115F8CC9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1.评估是否为租赁【案例：对资产使用范围的限定】</w:t>
      </w:r>
    </w:p>
    <w:p w14:paraId="4BB778D1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2.一年期合同到期续签【案例：房屋租赁】</w:t>
      </w:r>
    </w:p>
    <w:p w14:paraId="743C3CF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3.售后租回【案例：设备售后租回】</w:t>
      </w:r>
    </w:p>
    <w:p w14:paraId="6E49FC9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4.可变租金</w:t>
      </w:r>
    </w:p>
    <w:p w14:paraId="2FB4800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5.租赁业务的递延所得税新规</w:t>
      </w:r>
    </w:p>
    <w:p w14:paraId="314E263F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）金融工具准则主要问题</w:t>
      </w:r>
    </w:p>
    <w:p w14:paraId="4AE6662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1.预期信用损失的确认</w:t>
      </w:r>
    </w:p>
    <w:p w14:paraId="47C0EDDF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2.收到票据的处理【案例：取得银票的处理】</w:t>
      </w:r>
    </w:p>
    <w:p w14:paraId="6FB72813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3.长期借款计提利息</w:t>
      </w:r>
    </w:p>
    <w:p w14:paraId="6F470750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4.应收款项的终止确认【案例：票据贴现的处理】</w:t>
      </w:r>
    </w:p>
    <w:p w14:paraId="6FFDC2C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5.签订股权投资合同需要会计处理吗？</w:t>
      </w:r>
    </w:p>
    <w:p w14:paraId="382C8F86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）固定资产与无形资产准则主要问题</w:t>
      </w:r>
    </w:p>
    <w:p w14:paraId="21EA3193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1.固定资产确认条件</w:t>
      </w:r>
    </w:p>
    <w:p w14:paraId="4D85C19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2.何时开始计提折旧</w:t>
      </w:r>
    </w:p>
    <w:p w14:paraId="5DE18E5B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3.已达到预定可使用状态的处理【案例：试运行产品销售】</w:t>
      </w:r>
    </w:p>
    <w:p w14:paraId="1FC93616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4.研发支出资本化的条件【案例：数据资源入表】</w:t>
      </w:r>
    </w:p>
    <w:p w14:paraId="69E09E88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六</w:t>
      </w:r>
      <w:r>
        <w:rPr>
          <w:rFonts w:hint="eastAsia"/>
          <w:b/>
          <w:bCs w:val="0"/>
        </w:rPr>
        <w:t>）资产减值准则主要问题</w:t>
      </w:r>
    </w:p>
    <w:p w14:paraId="4BFDA1C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1.判断减值迹象</w:t>
      </w:r>
    </w:p>
    <w:p w14:paraId="34A96161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2.估计可收回金额【案例：固定资产减值】</w:t>
      </w:r>
    </w:p>
    <w:p w14:paraId="310D44F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3.以资产负债表日的状况为基础</w:t>
      </w:r>
    </w:p>
    <w:p w14:paraId="22C2AB83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4.长期股权投资减值的处理【案例：长期股权投资减值】</w:t>
      </w:r>
    </w:p>
    <w:p w14:paraId="31D6DF50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5.商誉减值【案例：商誉减值】</w:t>
      </w:r>
    </w:p>
    <w:p w14:paraId="64C2ECD2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七</w:t>
      </w:r>
      <w:r>
        <w:rPr>
          <w:rFonts w:hint="eastAsia"/>
          <w:b/>
          <w:bCs w:val="0"/>
        </w:rPr>
        <w:t>）政府补助准则主要问题</w:t>
      </w:r>
    </w:p>
    <w:p w14:paraId="21A80B27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1.区分收入、政府补助、资本性投入</w:t>
      </w:r>
    </w:p>
    <w:p w14:paraId="45CFC8E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2.区分资产相关与收益相关</w:t>
      </w:r>
    </w:p>
    <w:p w14:paraId="023E7DC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3.确认时点【案例：何时确认政府补助】</w:t>
      </w:r>
    </w:p>
    <w:p w14:paraId="05FEBEF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4.与日常活动相关的判断</w:t>
      </w:r>
    </w:p>
    <w:p w14:paraId="1E1AD92F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八</w:t>
      </w:r>
      <w:r>
        <w:rPr>
          <w:rFonts w:hint="eastAsia"/>
          <w:b/>
          <w:bCs w:val="0"/>
        </w:rPr>
        <w:t>）长期股权投资准则主要问题</w:t>
      </w:r>
    </w:p>
    <w:p w14:paraId="717BAC4F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1.重大影响或共同控制的判断【案例：具有重大影响吗？】</w:t>
      </w:r>
    </w:p>
    <w:p w14:paraId="6424800C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2.派驻或撤回董事【案例：撤回董事】</w:t>
      </w:r>
    </w:p>
    <w:p w14:paraId="14CD181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</w:t>
      </w:r>
      <w:r>
        <w:rPr>
          <w:rFonts w:hint="eastAsia"/>
          <w:b w:val="0"/>
          <w:bCs/>
        </w:rPr>
        <w:tab/>
      </w:r>
      <w:r>
        <w:rPr>
          <w:rFonts w:hint="eastAsia"/>
          <w:b w:val="0"/>
          <w:bCs/>
        </w:rPr>
        <w:t>公允价值调整</w:t>
      </w:r>
    </w:p>
    <w:p w14:paraId="43904E37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4.未实现内部交易损益抵销</w:t>
      </w:r>
    </w:p>
    <w:p w14:paraId="3A47BA5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5.追加投资转按权益法核算</w:t>
      </w:r>
    </w:p>
    <w:p w14:paraId="2246CB64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九</w:t>
      </w:r>
      <w:r>
        <w:rPr>
          <w:rFonts w:hint="eastAsia"/>
          <w:b/>
          <w:bCs w:val="0"/>
        </w:rPr>
        <w:t>）企业合并与合并财务报表准则主要问题</w:t>
      </w:r>
    </w:p>
    <w:p w14:paraId="328BBDB6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1.关于控制的判断【案例：应当合并吗？】</w:t>
      </w:r>
    </w:p>
    <w:p w14:paraId="21B1B549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2.结构化主体【案例：合伙企业的合并】</w:t>
      </w:r>
    </w:p>
    <w:p w14:paraId="2AABD7B5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3.内部交易抵销【案例：如何抵销？】</w:t>
      </w:r>
    </w:p>
    <w:p w14:paraId="1B99978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4.应收超额亏损子公司债权</w:t>
      </w:r>
    </w:p>
    <w:p w14:paraId="465A5B65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5.特殊交易的会计处理</w:t>
      </w:r>
    </w:p>
    <w:p w14:paraId="51B88A5F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（十）其他准则主要问题</w:t>
      </w:r>
    </w:p>
    <w:p w14:paraId="69AABA66">
      <w:pPr>
        <w:rPr>
          <w:b w:val="0"/>
          <w:bCs/>
        </w:rPr>
      </w:pPr>
      <w:r>
        <w:rPr>
          <w:rFonts w:hint="eastAsia"/>
          <w:b w:val="0"/>
          <w:bCs/>
        </w:rPr>
        <w:t>1.存货【案例：存货跌价准备计提】</w:t>
      </w:r>
    </w:p>
    <w:p w14:paraId="187C01C1">
      <w:pPr>
        <w:rPr>
          <w:b w:val="0"/>
          <w:bCs/>
        </w:rPr>
      </w:pPr>
      <w:r>
        <w:rPr>
          <w:rFonts w:hint="eastAsia"/>
          <w:b w:val="0"/>
          <w:bCs/>
        </w:rPr>
        <w:t>2.持续经营的判断【案例：三种情形的不同处理】</w:t>
      </w:r>
    </w:p>
    <w:p w14:paraId="2DEB1113">
      <w:pPr>
        <w:rPr>
          <w:b w:val="0"/>
          <w:bCs/>
        </w:rPr>
      </w:pPr>
      <w:r>
        <w:rPr>
          <w:rFonts w:hint="eastAsia"/>
          <w:b w:val="0"/>
          <w:bCs/>
        </w:rPr>
        <w:t>3.投资性房地产【案例：纸上富贵】</w:t>
      </w:r>
    </w:p>
    <w:p w14:paraId="64C4E02F">
      <w:pPr>
        <w:rPr>
          <w:b w:val="0"/>
          <w:bCs/>
        </w:rPr>
      </w:pPr>
      <w:r>
        <w:rPr>
          <w:rFonts w:hint="eastAsia"/>
          <w:b w:val="0"/>
          <w:bCs/>
        </w:rPr>
        <w:t>4.借款费用【案例：资本化期间；施工企业的借款费用】</w:t>
      </w:r>
    </w:p>
    <w:p w14:paraId="1A480448">
      <w:pPr>
        <w:rPr>
          <w:b w:val="0"/>
          <w:bCs/>
        </w:rPr>
      </w:pPr>
      <w:r>
        <w:rPr>
          <w:rFonts w:hint="eastAsia"/>
          <w:b w:val="0"/>
          <w:bCs/>
        </w:rPr>
        <w:t>5.会计政策、会计估计变更和差错更正【案例：会计政策还是会计估计变更】</w:t>
      </w:r>
    </w:p>
    <w:p w14:paraId="574E5415">
      <w:pPr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6.报表格式【案例：合同资产与合同负债的列示；货币资金的列示】</w:t>
      </w:r>
    </w:p>
    <w:p w14:paraId="1D060ED2">
      <w:pPr>
        <w:rPr>
          <w:rFonts w:hint="default" w:eastAsia="仿宋_GB2312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7.数据资产会计【资本化V.费用化】</w:t>
      </w:r>
    </w:p>
    <w:p w14:paraId="291B2140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（十</w:t>
      </w:r>
      <w:r>
        <w:rPr>
          <w:rFonts w:hint="eastAsia"/>
          <w:b/>
          <w:bCs w:val="0"/>
          <w:lang w:val="en-US" w:eastAsia="zh-CN"/>
        </w:rPr>
        <w:t>一</w:t>
      </w:r>
      <w:r>
        <w:rPr>
          <w:rFonts w:hint="eastAsia"/>
          <w:b/>
          <w:bCs w:val="0"/>
        </w:rPr>
        <w:t>）准则修订动向</w:t>
      </w:r>
    </w:p>
    <w:p w14:paraId="54F2CAC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1.拟修订的具体准则</w:t>
      </w:r>
    </w:p>
    <w:p w14:paraId="32140A6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2.基本准则修订动向</w:t>
      </w:r>
    </w:p>
    <w:p w14:paraId="641E931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3.可持续披露准则热点问题分析</w:t>
      </w:r>
    </w:p>
    <w:p w14:paraId="4A864FDA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五、拟邀师资</w:t>
      </w:r>
    </w:p>
    <w:p w14:paraId="31801444">
      <w:pPr>
        <w:rPr>
          <w:b w:val="0"/>
          <w:bCs/>
        </w:rPr>
      </w:pPr>
      <w:r>
        <w:rPr>
          <w:rFonts w:hint="eastAsia"/>
          <w:b w:val="0"/>
          <w:bCs/>
        </w:rPr>
        <w:t>江老师（课程主任）：厦门大学会计学博士，上海国家会计学院副教授、硕士研究生导师，上海财经大学兼职研究生导师。</w:t>
      </w:r>
    </w:p>
    <w:p w14:paraId="4643BB7E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六、收费标准</w:t>
      </w:r>
    </w:p>
    <w:p w14:paraId="4B24683F">
      <w:pPr>
        <w:rPr>
          <w:b w:val="0"/>
          <w:bCs/>
        </w:rPr>
      </w:pPr>
      <w:r>
        <w:rPr>
          <w:rFonts w:hint="eastAsia"/>
          <w:b w:val="0"/>
          <w:bCs/>
        </w:rPr>
        <w:t>1.培训费：线下面授</w:t>
      </w:r>
      <w:r>
        <w:rPr>
          <w:rFonts w:hint="eastAsia"/>
          <w:b w:val="0"/>
          <w:bCs/>
          <w:lang w:val="en-US" w:eastAsia="zh-CN"/>
        </w:rPr>
        <w:t>4200</w:t>
      </w:r>
      <w:r>
        <w:rPr>
          <w:rFonts w:hint="eastAsia"/>
          <w:b w:val="0"/>
          <w:bCs/>
        </w:rPr>
        <w:t>元/人；线上直播</w:t>
      </w:r>
      <w:r>
        <w:rPr>
          <w:rFonts w:hint="eastAsia"/>
          <w:b w:val="0"/>
          <w:bCs/>
          <w:lang w:val="en-US" w:eastAsia="zh-CN"/>
        </w:rPr>
        <w:t>3000</w:t>
      </w:r>
      <w:r>
        <w:rPr>
          <w:rFonts w:hint="eastAsia"/>
          <w:b w:val="0"/>
          <w:bCs/>
        </w:rPr>
        <w:t>元/人。</w:t>
      </w:r>
    </w:p>
    <w:p w14:paraId="1A561DEB">
      <w:pPr>
        <w:rPr>
          <w:b w:val="0"/>
          <w:bCs/>
        </w:rPr>
      </w:pPr>
      <w:r>
        <w:rPr>
          <w:rFonts w:hint="eastAsia"/>
          <w:b w:val="0"/>
          <w:bCs/>
        </w:rPr>
        <w:t>2.食宿统一安排，费用自理，具体标准以开课通知为准。</w:t>
      </w:r>
    </w:p>
    <w:p w14:paraId="62C5ABF8">
      <w:pPr>
        <w:rPr>
          <w:b w:val="0"/>
          <w:bCs/>
        </w:rPr>
      </w:pPr>
      <w:r>
        <w:rPr>
          <w:rFonts w:hint="eastAsia"/>
          <w:b w:val="0"/>
          <w:bCs/>
        </w:rPr>
        <w:t>3.费用支付方式：培训费由上海国家会计学院收取，支付宝/微信扫码、汇款。食宿费由酒店收取，现场支付。</w:t>
      </w:r>
    </w:p>
    <w:p w14:paraId="1C49433D">
      <w:pPr>
        <w:rPr>
          <w:b w:val="0"/>
          <w:bCs/>
        </w:rPr>
      </w:pPr>
      <w:r>
        <w:rPr>
          <w:rFonts w:hint="eastAsia"/>
          <w:b w:val="0"/>
          <w:bCs/>
        </w:rPr>
        <w:t>4.关于发票：培训费发票由学院提供；食宿发票由酒店提供。</w:t>
      </w:r>
    </w:p>
    <w:p w14:paraId="0786E449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七、结业证书</w:t>
      </w:r>
    </w:p>
    <w:p w14:paraId="3413F694">
      <w:pPr>
        <w:rPr>
          <w:b w:val="0"/>
          <w:bCs/>
        </w:rPr>
      </w:pPr>
      <w:r>
        <w:rPr>
          <w:rFonts w:hint="eastAsia"/>
          <w:b w:val="0"/>
          <w:bCs/>
        </w:rPr>
        <w:t>上海国家会计学院颁发结业证书，并注明学时。继续教育学时认定事宜，烦请学员咨询当地主管部门。</w:t>
      </w:r>
    </w:p>
    <w:p w14:paraId="7AA0CEEA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八、报名咨询</w:t>
      </w:r>
    </w:p>
    <w:p w14:paraId="3A186272">
      <w:pPr>
        <w:rPr>
          <w:b w:val="0"/>
          <w:bCs/>
        </w:rPr>
      </w:pPr>
      <w:r>
        <w:rPr>
          <w:rFonts w:hint="eastAsia"/>
          <w:b w:val="0"/>
          <w:bCs/>
        </w:rPr>
        <w:t>请参加人员填写《报名表》（附后），我们将在开课前一周向报名学员发送《开课通知》。</w:t>
      </w:r>
    </w:p>
    <w:p w14:paraId="63DD38BE">
      <w:pPr>
        <w:rPr>
          <w:b w:val="0"/>
          <w:bCs/>
        </w:rPr>
      </w:pPr>
      <w:r>
        <w:rPr>
          <w:rFonts w:hint="eastAsia"/>
          <w:b w:val="0"/>
          <w:bCs/>
        </w:rPr>
        <w:t>联系人：黄老师18610843353（同微信）</w:t>
      </w:r>
    </w:p>
    <w:p w14:paraId="6E04CB0B">
      <w:pPr>
        <w:rPr>
          <w:rFonts w:hint="eastAsia" w:hAnsi="宋体"/>
          <w:b w:val="0"/>
          <w:bCs/>
        </w:rPr>
      </w:pPr>
      <w:r>
        <w:rPr>
          <w:rFonts w:hint="eastAsia" w:hAnsi="宋体"/>
          <w:b w:val="0"/>
          <w:bCs/>
        </w:rPr>
        <w:t>邮箱：</w:t>
      </w:r>
      <w:r>
        <w:rPr>
          <w:rFonts w:hint="eastAsia" w:hAnsi="宋体"/>
          <w:b w:val="0"/>
          <w:bCs/>
        </w:rPr>
        <w:fldChar w:fldCharType="begin"/>
      </w:r>
      <w:r>
        <w:rPr>
          <w:rFonts w:hint="eastAsia" w:hAnsi="宋体"/>
          <w:b w:val="0"/>
          <w:bCs/>
        </w:rPr>
        <w:instrText xml:space="preserve"> HYPERLINK "mailto:284828890@qq.com" </w:instrText>
      </w:r>
      <w:r>
        <w:rPr>
          <w:rFonts w:hint="eastAsia" w:hAnsi="宋体"/>
          <w:b w:val="0"/>
          <w:bCs/>
        </w:rPr>
        <w:fldChar w:fldCharType="separate"/>
      </w:r>
      <w:r>
        <w:rPr>
          <w:rFonts w:hint="eastAsia" w:hAnsi="宋体"/>
          <w:b w:val="0"/>
          <w:bCs/>
        </w:rPr>
        <w:t>284828890@qq.com</w:t>
      </w:r>
      <w:r>
        <w:rPr>
          <w:rFonts w:hint="eastAsia" w:hAnsi="宋体"/>
          <w:b w:val="0"/>
          <w:bCs/>
        </w:rPr>
        <w:fldChar w:fldCharType="end"/>
      </w:r>
    </w:p>
    <w:p w14:paraId="156CCA3C">
      <w:pPr>
        <w:rPr>
          <w:rStyle w:val="4"/>
          <w:b w:val="0"/>
          <w:bCs/>
        </w:rPr>
      </w:pPr>
    </w:p>
    <w:p w14:paraId="6B19166A">
      <w:pPr>
        <w:rPr>
          <w:rStyle w:val="4"/>
          <w:b w:val="0"/>
          <w:bCs/>
        </w:rPr>
      </w:pPr>
    </w:p>
    <w:p w14:paraId="056AC872">
      <w:pPr>
        <w:rPr>
          <w:rStyle w:val="4"/>
          <w:b w:val="0"/>
          <w:bCs/>
        </w:rPr>
      </w:pPr>
    </w:p>
    <w:p w14:paraId="215068DC">
      <w:pPr>
        <w:rPr>
          <w:rStyle w:val="4"/>
          <w:b w:val="0"/>
          <w:bCs/>
        </w:rPr>
      </w:pPr>
    </w:p>
    <w:p w14:paraId="18570CE8">
      <w:pPr>
        <w:rPr>
          <w:rStyle w:val="4"/>
          <w:b w:val="0"/>
          <w:bCs/>
        </w:rPr>
      </w:pPr>
    </w:p>
    <w:p w14:paraId="457DDEE4">
      <w:pPr>
        <w:rPr>
          <w:rStyle w:val="4"/>
          <w:b w:val="0"/>
          <w:bCs/>
        </w:rPr>
      </w:pPr>
    </w:p>
    <w:p w14:paraId="506D492F">
      <w:pPr>
        <w:rPr>
          <w:rStyle w:val="4"/>
          <w:b w:val="0"/>
          <w:bCs/>
        </w:rPr>
      </w:pPr>
    </w:p>
    <w:p w14:paraId="0E3C2A6F">
      <w:pPr>
        <w:rPr>
          <w:rStyle w:val="4"/>
          <w:b w:val="0"/>
          <w:bCs/>
        </w:rPr>
      </w:pPr>
    </w:p>
    <w:p w14:paraId="632459CA">
      <w:pPr>
        <w:rPr>
          <w:rStyle w:val="4"/>
          <w:b w:val="0"/>
          <w:bCs/>
        </w:rPr>
      </w:pPr>
    </w:p>
    <w:p w14:paraId="15C4E0D9">
      <w:pPr>
        <w:rPr>
          <w:rStyle w:val="4"/>
          <w:b w:val="0"/>
          <w:bCs/>
        </w:rPr>
      </w:pPr>
    </w:p>
    <w:p w14:paraId="2DE4E346">
      <w:pPr>
        <w:rPr>
          <w:rStyle w:val="4"/>
          <w:b w:val="0"/>
          <w:bCs/>
        </w:rPr>
      </w:pPr>
    </w:p>
    <w:p w14:paraId="3062A5E8">
      <w:pPr>
        <w:rPr>
          <w:rStyle w:val="4"/>
          <w:rFonts w:hint="eastAsia"/>
          <w:b w:val="0"/>
          <w:bCs/>
        </w:rPr>
      </w:pPr>
    </w:p>
    <w:p w14:paraId="0E2DF8D9">
      <w:pPr>
        <w:widowControl/>
        <w:tabs>
          <w:tab w:val="center" w:pos="4766"/>
          <w:tab w:val="left" w:pos="6716"/>
        </w:tabs>
        <w:spacing w:line="480" w:lineRule="exact"/>
        <w:outlineLvl w:val="0"/>
        <w:rPr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Cs/>
        </w:rPr>
        <w:t>附件二：</w:t>
      </w:r>
    </w:p>
    <w:p w14:paraId="697CDB49">
      <w:pPr>
        <w:widowControl/>
        <w:tabs>
          <w:tab w:val="center" w:pos="4766"/>
          <w:tab w:val="left" w:pos="6716"/>
        </w:tabs>
        <w:spacing w:line="480" w:lineRule="exact"/>
        <w:ind w:firstLine="472" w:firstLineChars="147"/>
        <w:jc w:val="center"/>
        <w:outlineLvl w:val="1"/>
        <w:rPr>
          <w:rFonts w:ascii="黑体" w:hAnsi="黑体" w:eastAsia="黑体" w:cs="宋体"/>
          <w:b w:val="0"/>
          <w:bCs/>
          <w:kern w:val="0"/>
        </w:rPr>
      </w:pPr>
      <w:r>
        <w:rPr>
          <w:rFonts w:hint="eastAsia" w:ascii="黑体" w:hAnsi="黑体" w:eastAsia="黑体" w:cs="宋体"/>
          <w:bCs/>
          <w:kern w:val="0"/>
        </w:rPr>
        <w:t>上海国家会计学院</w:t>
      </w:r>
    </w:p>
    <w:p w14:paraId="576C1BFA">
      <w:pPr>
        <w:widowControl/>
        <w:tabs>
          <w:tab w:val="center" w:pos="4766"/>
          <w:tab w:val="left" w:pos="6716"/>
        </w:tabs>
        <w:spacing w:line="480" w:lineRule="exact"/>
        <w:ind w:firstLine="472" w:firstLineChars="147"/>
        <w:jc w:val="center"/>
        <w:outlineLvl w:val="1"/>
        <w:rPr>
          <w:rFonts w:ascii="黑体" w:hAnsi="黑体" w:eastAsia="黑体" w:cs="宋体"/>
          <w:b w:val="0"/>
          <w:bCs/>
          <w:kern w:val="0"/>
        </w:rPr>
      </w:pPr>
      <w:r>
        <w:rPr>
          <w:rFonts w:hint="eastAsia" w:ascii="黑体" w:hAnsi="黑体" w:eastAsia="黑体" w:cs="宋体"/>
          <w:bCs/>
          <w:kern w:val="0"/>
        </w:rPr>
        <w:t>“会计准则执行中热点难点问题解析”（线上</w:t>
      </w:r>
      <w:r>
        <w:rPr>
          <w:rFonts w:ascii="黑体" w:hAnsi="黑体" w:eastAsia="黑体" w:cs="宋体"/>
          <w:bCs/>
          <w:kern w:val="0"/>
        </w:rPr>
        <w:t>+线下）</w:t>
      </w:r>
      <w:r>
        <w:rPr>
          <w:rFonts w:hint="eastAsia" w:ascii="黑体" w:hAnsi="黑体" w:eastAsia="黑体" w:cs="宋体"/>
          <w:bCs/>
          <w:kern w:val="0"/>
        </w:rPr>
        <w:t>研修班报名表</w:t>
      </w:r>
    </w:p>
    <w:tbl>
      <w:tblPr>
        <w:tblStyle w:val="2"/>
        <w:tblpPr w:leftFromText="180" w:rightFromText="180" w:vertAnchor="text" w:horzAnchor="page" w:tblpX="1455" w:tblpY="156"/>
        <w:tblOverlap w:val="never"/>
        <w:tblW w:w="9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14:paraId="05B7C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BD84">
            <w:pPr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80AC">
            <w:pPr>
              <w:wordWrap w:val="0"/>
              <w:autoSpaceDN w:val="0"/>
              <w:ind w:right="960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B48D">
            <w:pPr>
              <w:wordWrap w:val="0"/>
              <w:autoSpaceDN w:val="0"/>
              <w:ind w:right="211"/>
              <w:jc w:val="righ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AD9F">
            <w:pPr>
              <w:wordWrap w:val="0"/>
              <w:autoSpaceDN w:val="0"/>
              <w:jc w:val="righ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省</w:t>
            </w:r>
            <w:r>
              <w:rPr>
                <w:rFonts w:hint="eastAsia" w:ascii="宋体" w:eastAsia="宋体"/>
                <w:b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市</w:t>
            </w:r>
          </w:p>
        </w:tc>
      </w:tr>
      <w:tr w14:paraId="40040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FE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联系人姓名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A6B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42D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10D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797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3F5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</w:tr>
      <w:tr w14:paraId="4310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D92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691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eastAsia="宋体"/>
                <w:b w:val="0"/>
                <w:spacing w:val="-26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D15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56A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67B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8B0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邮箱</w:t>
            </w:r>
          </w:p>
        </w:tc>
      </w:tr>
      <w:tr w14:paraId="30D34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A00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4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ECB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C49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549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1EC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</w:tr>
      <w:tr w14:paraId="3288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CB5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D83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6CB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D43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25A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F04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</w:tr>
      <w:tr w14:paraId="3E46A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B1AB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A9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082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054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BA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B8C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4B32F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F51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535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17E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DAE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03C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D47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0503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BD8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71F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9D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55A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022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43E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30BC9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303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7F2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C76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70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E1E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49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080E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7C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报名程序：</w:t>
            </w:r>
          </w:p>
          <w:p w14:paraId="4D44BD39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85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学院账户：</w:t>
            </w:r>
          </w:p>
          <w:p w14:paraId="4977E14D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学院开户行：中国建设银行上海徐泾支行</w:t>
            </w:r>
          </w:p>
          <w:p w14:paraId="068D1CE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单位名称：上海国家会计学院</w:t>
            </w:r>
          </w:p>
          <w:p w14:paraId="5342162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汇款账号：31001984300059768088</w:t>
            </w:r>
          </w:p>
        </w:tc>
      </w:tr>
      <w:tr w14:paraId="5300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92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9E63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报名咨询：</w:t>
            </w:r>
          </w:p>
          <w:p w14:paraId="71FF5E1D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 xml:space="preserve">黄老师：18610843353（同微信）  邮箱：284828890@qq.com </w:t>
            </w:r>
          </w:p>
        </w:tc>
      </w:tr>
    </w:tbl>
    <w:p w14:paraId="69B88C29">
      <w:pPr>
        <w:rPr>
          <w:b w:val="0"/>
          <w:bCs/>
          <w:sz w:val="21"/>
          <w:szCs w:val="21"/>
        </w:rPr>
      </w:pPr>
    </w:p>
    <w:p w14:paraId="234C0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358EE"/>
    <w:rsid w:val="4A052417"/>
    <w:rsid w:val="6A3F5C51"/>
    <w:rsid w:val="6CD9519D"/>
    <w:rsid w:val="7F0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_GB2312" w:hAnsi="宋体" w:eastAsia="仿宋_GB2312" w:cs="Times New Roman"/>
      <w:b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2252</Words>
  <Characters>2404</Characters>
  <Lines>0</Lines>
  <Paragraphs>0</Paragraphs>
  <TotalTime>0</TotalTime>
  <ScaleCrop>false</ScaleCrop>
  <LinksUpToDate>false</LinksUpToDate>
  <CharactersWithSpaces>2475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2025-09-17T00:45:00Z</dcterms:created>
  <dc:creator>Administrator</dc:creator>
  <cp:lastModifiedBy>黄兵18610843353</cp:lastModifiedBy>
  <dcterms:modified xsi:type="dcterms:W3CDTF">2025-10-24T03:42:09Z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eyJoZGlkIjoiODFjZDYzYzhiMzJhNGQzMzkyYzM4NTI4ZDhkN2Q1ODIiLCJ1c2VySWQiOiI0Mzg0OTgwNTEifQ==</vt:lpwstr>
  </property>
  <property fmtid="{D5CDD505-2E9C-101B-9397-08002B2CF9AE}" pid="4" name="ICV">
    <vt:lpwstr>CBFEDB9D715B4EC085EB57968E2F9DFE_13</vt:lpwstr>
  </property>
</Properties>
</file>