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DF1380">
      <w:pPr>
        <w:spacing w:line="360" w:lineRule="auto"/>
        <w:jc w:val="distribute"/>
        <w:rPr>
          <w:rFonts w:hint="eastAsia" w:ascii="Kaiti SC" w:hAnsi="Kaiti SC" w:eastAsia="Kaiti SC" w:cs="楷体"/>
          <w:b/>
          <w:bCs/>
          <w:color w:val="FF3300"/>
          <w:spacing w:val="-40"/>
          <w:sz w:val="96"/>
          <w:szCs w:val="96"/>
        </w:rPr>
      </w:pPr>
    </w:p>
    <w:p w14:paraId="2AFBD497">
      <w:pPr>
        <w:spacing w:line="360" w:lineRule="auto"/>
        <w:jc w:val="center"/>
        <w:rPr>
          <w:rFonts w:hint="eastAsia" w:ascii="宋体" w:hAnsi="宋体" w:eastAsia="宋体"/>
          <w:b/>
          <w:bCs/>
          <w:color w:val="FF3300"/>
          <w:spacing w:val="-40"/>
          <w:sz w:val="84"/>
          <w:szCs w:val="84"/>
        </w:rPr>
      </w:pPr>
      <w:r>
        <w:rPr>
          <w:rFonts w:hint="eastAsia" w:ascii="宋体" w:hAnsi="宋体" w:eastAsia="宋体"/>
          <w:b/>
          <w:bCs/>
          <w:color w:val="FF3300"/>
          <w:spacing w:val="-40"/>
          <w:sz w:val="84"/>
          <w:szCs w:val="84"/>
        </w:rPr>
        <w:t>上海国家会计学院</w:t>
      </w:r>
    </w:p>
    <w:p w14:paraId="1A177C73">
      <w:pPr>
        <w:spacing w:line="360" w:lineRule="auto"/>
        <w:rPr>
          <w:rFonts w:hint="eastAsia" w:ascii="Songti SC" w:hAnsi="Songti SC" w:eastAsia="Songti SC"/>
          <w:b/>
          <w:bCs/>
          <w:sz w:val="11"/>
        </w:rPr>
      </w:pPr>
    </w:p>
    <w:p w14:paraId="120E0838">
      <w:pPr>
        <w:spacing w:line="360" w:lineRule="auto"/>
        <w:jc w:val="center"/>
        <w:rPr>
          <w:rFonts w:hint="eastAsia" w:ascii="宋体" w:hAnsi="宋体" w:eastAsia="宋体" w:cs="微软雅黑"/>
          <w:bCs/>
          <w:sz w:val="32"/>
          <w:szCs w:val="32"/>
        </w:rPr>
      </w:pPr>
      <w:r>
        <w:rPr>
          <w:rFonts w:hint="eastAsia" w:ascii="宋体" w:hAnsi="宋体" w:eastAsia="宋体" w:cs="楷体"/>
          <w:bCs/>
          <w:sz w:val="42"/>
          <w:szCs w:val="42"/>
        </w:rPr>
        <w:t xml:space="preserve"> </w:t>
      </w:r>
      <w:r>
        <w:rPr>
          <w:rFonts w:hint="eastAsia" w:ascii="宋体" w:hAnsi="宋体" w:eastAsia="宋体" w:cs="微软雅黑"/>
          <w:bCs/>
          <w:sz w:val="32"/>
          <w:szCs w:val="32"/>
        </w:rPr>
        <w:t xml:space="preserve">  上国会培〔</w:t>
      </w:r>
      <w:r>
        <w:rPr>
          <w:rFonts w:ascii="宋体" w:hAnsi="宋体" w:eastAsia="宋体" w:cs="微软雅黑"/>
          <w:bCs/>
          <w:sz w:val="32"/>
          <w:szCs w:val="32"/>
        </w:rPr>
        <w:t>202</w:t>
      </w:r>
      <w:r>
        <w:rPr>
          <w:rFonts w:hint="eastAsia" w:ascii="宋体" w:hAnsi="宋体" w:eastAsia="宋体" w:cs="微软雅黑"/>
          <w:bCs/>
          <w:sz w:val="32"/>
          <w:szCs w:val="32"/>
        </w:rPr>
        <w:t>5〕</w:t>
      </w:r>
      <w:r>
        <w:rPr>
          <w:rFonts w:hint="eastAsia" w:ascii="宋体" w:hAnsi="宋体" w:eastAsia="宋体" w:cs="微软雅黑"/>
          <w:bCs/>
          <w:sz w:val="32"/>
          <w:szCs w:val="32"/>
          <w:lang w:val="en-US" w:eastAsia="zh-CN"/>
        </w:rPr>
        <w:t>203</w:t>
      </w:r>
      <w:r>
        <w:rPr>
          <w:rFonts w:hint="eastAsia" w:ascii="宋体" w:hAnsi="宋体" w:eastAsia="宋体" w:cs="微软雅黑"/>
          <w:bCs/>
          <w:sz w:val="32"/>
          <w:szCs w:val="32"/>
        </w:rPr>
        <w:t>号</w:t>
      </w:r>
    </w:p>
    <w:p w14:paraId="3F5E07EA">
      <w:pPr>
        <w:spacing w:line="360" w:lineRule="auto"/>
        <w:jc w:val="center"/>
        <w:rPr>
          <w:rFonts w:hint="eastAsia" w:ascii="仿宋_GB2312" w:hAnsi="楷体" w:eastAsia="仿宋_GB2312" w:cs="楷体"/>
          <w:b/>
          <w:bCs/>
          <w:sz w:val="20"/>
          <w:szCs w:val="18"/>
        </w:rPr>
      </w:pPr>
      <w:r>
        <w:rPr>
          <w:rFonts w:ascii="仿宋_GB2312" w:eastAsia="仿宋_GB2312"/>
          <w:sz w:val="24"/>
          <w:szCs w:val="24"/>
        </w:rPr>
        <mc:AlternateContent>
          <mc:Choice Requires="wps">
            <w:drawing>
              <wp:anchor distT="0" distB="0" distL="114300" distR="114300" simplePos="0" relativeHeight="251659264" behindDoc="0" locked="0" layoutInCell="1" allowOverlap="1">
                <wp:simplePos x="0" y="0"/>
                <wp:positionH relativeFrom="column">
                  <wp:posOffset>-123825</wp:posOffset>
                </wp:positionH>
                <wp:positionV relativeFrom="paragraph">
                  <wp:posOffset>283210</wp:posOffset>
                </wp:positionV>
                <wp:extent cx="5461635" cy="13970"/>
                <wp:effectExtent l="0" t="0" r="24765" b="24130"/>
                <wp:wrapNone/>
                <wp:docPr id="3" name="直接连接符 3"/>
                <wp:cNvGraphicFramePr/>
                <a:graphic xmlns:a="http://schemas.openxmlformats.org/drawingml/2006/main">
                  <a:graphicData uri="http://schemas.microsoft.com/office/word/2010/wordprocessingShape">
                    <wps:wsp>
                      <wps:cNvCnPr/>
                      <wps:spPr bwMode="auto">
                        <a:xfrm flipV="1">
                          <a:off x="0" y="0"/>
                          <a:ext cx="5461635" cy="13970"/>
                        </a:xfrm>
                        <a:prstGeom prst="line">
                          <a:avLst/>
                        </a:prstGeom>
                        <a:noFill/>
                        <a:ln w="25400">
                          <a:solidFill>
                            <a:srgbClr val="FF0000"/>
                          </a:solidFill>
                          <a:round/>
                        </a:ln>
                      </wps:spPr>
                      <wps:bodyPr/>
                    </wps:wsp>
                  </a:graphicData>
                </a:graphic>
              </wp:anchor>
            </w:drawing>
          </mc:Choice>
          <mc:Fallback>
            <w:pict>
              <v:line id="_x0000_s1026" o:spid="_x0000_s1026" o:spt="20" style="position:absolute;left:0pt;flip:y;margin-left:-9.75pt;margin-top:22.3pt;height:1.1pt;width:430.05pt;z-index:251659264;mso-width-relative:page;mso-height-relative:page;" filled="f" stroked="t" coordsize="21600,21600" o:gfxdata="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GElAC1QAAAAkBAAAPAAAAAAAAAAEA&#10;IAAAACIAAABkcnMvZG93bnJldi54bWxQSwECFAAUAAAACACHTuJAUJpuUtkBAACHAwAADgAAAAAA&#10;AAABACAAAAAkAQAAZHJzL2Uyb0RvYy54bWxQSwUGAAAAAAYABgBZAQAAbwUAAAAA&#10;">
                <v:fill on="f" focussize="0,0"/>
                <v:stroke weight="2pt" color="#FF0000" joinstyle="round"/>
                <v:imagedata o:title=""/>
                <o:lock v:ext="edit" aspectratio="f"/>
              </v:line>
            </w:pict>
          </mc:Fallback>
        </mc:AlternateContent>
      </w:r>
    </w:p>
    <w:p w14:paraId="15625EFF">
      <w:pPr>
        <w:spacing w:line="360" w:lineRule="auto"/>
        <w:ind w:right="-31" w:rightChars="-15"/>
        <w:jc w:val="center"/>
        <w:rPr>
          <w:rFonts w:hint="eastAsia" w:ascii="宋体" w:hAnsi="宋体"/>
          <w:b/>
          <w:sz w:val="44"/>
          <w:szCs w:val="44"/>
        </w:rPr>
      </w:pPr>
    </w:p>
    <w:p w14:paraId="79E31EF2">
      <w:pPr>
        <w:spacing w:line="640" w:lineRule="exact"/>
        <w:jc w:val="center"/>
        <w:rPr>
          <w:rFonts w:hint="eastAsia" w:ascii="宋体" w:hAnsi="宋体" w:eastAsia="宋体" w:cs="Times New Roman"/>
          <w:b/>
          <w:sz w:val="36"/>
          <w:szCs w:val="36"/>
        </w:rPr>
      </w:pPr>
      <w:r>
        <w:rPr>
          <w:rFonts w:hint="eastAsia" w:ascii="宋体" w:hAnsi="宋体" w:eastAsia="宋体" w:cs="Times New Roman"/>
          <w:b/>
          <w:sz w:val="36"/>
          <w:szCs w:val="36"/>
        </w:rPr>
        <w:t>关于举办“名师课程：新型监管机制下企业税收合规管理”培训班的通知</w:t>
      </w:r>
    </w:p>
    <w:p w14:paraId="1927209A">
      <w:pPr>
        <w:rPr>
          <w:rFonts w:hint="eastAsia"/>
          <w:b/>
          <w:sz w:val="28"/>
          <w:szCs w:val="28"/>
        </w:rPr>
      </w:pPr>
    </w:p>
    <w:p w14:paraId="0D1A8300">
      <w:pPr>
        <w:pStyle w:val="12"/>
        <w:rPr>
          <w:rFonts w:hint="eastAsia" w:ascii="仿宋_GB2312" w:hAnsi="仿宋" w:eastAsia="仿宋_GB2312"/>
          <w:sz w:val="32"/>
          <w:szCs w:val="32"/>
        </w:rPr>
      </w:pPr>
      <w:r>
        <w:rPr>
          <w:rFonts w:hint="eastAsia" w:ascii="仿宋_GB2312" w:hAnsi="仿宋" w:eastAsia="仿宋_GB2312"/>
          <w:sz w:val="32"/>
          <w:szCs w:val="32"/>
        </w:rPr>
        <w:t>各相关单位：</w:t>
      </w:r>
    </w:p>
    <w:p w14:paraId="64A28CF5">
      <w:pPr>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为深入贯彻落实中央关于财税体制改革的最新精神，帮助企业财务高管和企业税务管理高端人才准确把握新时代税制改革方向，提升在大数据下税务风险防范能力与税务合规管理水平，上海国家会计学院特举办“名师课程：税务专题研修班”</w:t>
      </w:r>
      <w:r>
        <w:rPr>
          <w:rFonts w:hint="eastAsia" w:ascii="仿宋_GB2312" w:hAnsi="仿宋_GB2312" w:eastAsia="仿宋_GB2312"/>
          <w:sz w:val="32"/>
          <w:szCs w:val="32"/>
          <w:lang w:val="en-US" w:eastAsia="zh-CN"/>
        </w:rPr>
        <w:t>系列</w:t>
      </w:r>
      <w:r>
        <w:rPr>
          <w:rFonts w:hint="eastAsia" w:ascii="仿宋_GB2312" w:hAnsi="仿宋_GB2312" w:eastAsia="仿宋_GB2312"/>
          <w:sz w:val="32"/>
          <w:szCs w:val="32"/>
        </w:rPr>
        <w:t>，聚焦财税领域广受关注的税收风险重点难点热点问题。</w:t>
      </w:r>
    </w:p>
    <w:p w14:paraId="4D203C50">
      <w:pPr>
        <w:ind w:firstLine="640" w:firstLineChars="200"/>
        <w:rPr>
          <w:rFonts w:hint="eastAsia" w:ascii="仿宋_GB2312" w:hAnsi="仿宋_GB2312" w:eastAsia="仿宋_GB2312"/>
          <w:sz w:val="32"/>
          <w:szCs w:val="32"/>
          <w:lang w:eastAsia="zh-CN"/>
        </w:rPr>
      </w:pPr>
      <w:r>
        <w:rPr>
          <w:rFonts w:hint="eastAsia" w:ascii="仿宋_GB2312" w:hAnsi="仿宋_GB2312" w:eastAsia="仿宋_GB2312"/>
          <w:sz w:val="32"/>
          <w:szCs w:val="32"/>
        </w:rPr>
        <w:t>本期课程</w:t>
      </w:r>
      <w:r>
        <w:rPr>
          <w:rFonts w:hint="eastAsia" w:ascii="仿宋_GB2312" w:hAnsi="仿宋_GB2312" w:eastAsia="仿宋_GB2312"/>
          <w:sz w:val="32"/>
          <w:szCs w:val="32"/>
          <w:lang w:val="en-US" w:eastAsia="zh-CN"/>
        </w:rPr>
        <w:t>主题为</w:t>
      </w:r>
      <w:r>
        <w:rPr>
          <w:rFonts w:hint="eastAsia" w:ascii="仿宋_GB2312" w:hAnsi="仿宋_GB2312" w:eastAsia="仿宋_GB2312"/>
          <w:sz w:val="32"/>
          <w:szCs w:val="32"/>
        </w:rPr>
        <w:t>新型监管机制下企业税收合规管理，</w:t>
      </w:r>
      <w:r>
        <w:rPr>
          <w:rFonts w:hint="eastAsia" w:ascii="仿宋_GB2312" w:hAnsi="仿宋_GB2312" w:eastAsia="仿宋_GB2312"/>
          <w:sz w:val="32"/>
          <w:szCs w:val="32"/>
          <w:lang w:val="en-US" w:eastAsia="zh-CN"/>
        </w:rPr>
        <w:t>深入解读政策，剖析</w:t>
      </w:r>
      <w:r>
        <w:rPr>
          <w:rFonts w:hint="eastAsia" w:ascii="仿宋_GB2312" w:hAnsi="仿宋_GB2312" w:eastAsia="仿宋_GB2312"/>
          <w:sz w:val="32"/>
          <w:szCs w:val="32"/>
        </w:rPr>
        <w:t>典型案例，助力企业实现合规转型</w:t>
      </w:r>
      <w:r>
        <w:rPr>
          <w:rFonts w:hint="eastAsia" w:ascii="仿宋_GB2312" w:hAnsi="仿宋_GB2312" w:eastAsia="仿宋_GB2312"/>
          <w:sz w:val="32"/>
          <w:szCs w:val="32"/>
          <w:lang w:eastAsia="zh-CN"/>
        </w:rPr>
        <w:t>。</w:t>
      </w:r>
    </w:p>
    <w:p w14:paraId="68B6B46F">
      <w:pPr>
        <w:pStyle w:val="12"/>
        <w:rPr>
          <w:rFonts w:hint="eastAsia" w:ascii="仿宋_GB2312" w:hAnsi="仿宋" w:eastAsia="仿宋_GB2312"/>
          <w:sz w:val="32"/>
          <w:szCs w:val="32"/>
        </w:rPr>
      </w:pPr>
    </w:p>
    <w:p w14:paraId="4434EB54">
      <w:pPr>
        <w:pStyle w:val="12"/>
        <w:ind w:firstLine="640" w:firstLineChars="200"/>
        <w:rPr>
          <w:rFonts w:hint="eastAsia" w:ascii="仿宋_GB2312" w:hAnsi="仿宋" w:eastAsia="仿宋_GB2312"/>
          <w:sz w:val="32"/>
          <w:szCs w:val="32"/>
        </w:rPr>
      </w:pPr>
      <w:r>
        <w:rPr>
          <w:rFonts w:hint="eastAsia" w:ascii="仿宋_GB2312" w:hAnsi="仿宋" w:eastAsia="仿宋_GB2312"/>
          <w:sz w:val="32"/>
          <w:szCs w:val="32"/>
        </w:rPr>
        <w:t>附件：一、课程简介</w:t>
      </w:r>
    </w:p>
    <w:p w14:paraId="3D34C9A9">
      <w:pPr>
        <w:pStyle w:val="12"/>
        <w:ind w:firstLine="1600" w:firstLineChars="500"/>
        <w:rPr>
          <w:rFonts w:hint="eastAsia" w:ascii="仿宋_GB2312" w:hAnsi="仿宋" w:eastAsia="仿宋_GB2312"/>
          <w:sz w:val="32"/>
          <w:szCs w:val="32"/>
        </w:rPr>
      </w:pPr>
      <w:r>
        <w:rPr>
          <w:rFonts w:hint="eastAsia" w:ascii="仿宋_GB2312" w:hAnsi="仿宋" w:eastAsia="仿宋_GB2312"/>
          <w:sz w:val="32"/>
          <w:szCs w:val="32"/>
        </w:rPr>
        <w:t>二、报名回执表</w:t>
      </w:r>
    </w:p>
    <w:p w14:paraId="2D293190">
      <w:pPr>
        <w:spacing w:line="360" w:lineRule="auto"/>
        <w:rPr>
          <w:rFonts w:hint="eastAsia" w:ascii="仿宋_GB2312" w:hAnsi="仿宋" w:eastAsia="仿宋_GB2312"/>
          <w:sz w:val="32"/>
          <w:szCs w:val="32"/>
        </w:rPr>
      </w:pPr>
    </w:p>
    <w:p w14:paraId="205F1AA3">
      <w:pPr>
        <w:spacing w:line="360" w:lineRule="auto"/>
        <w:rPr>
          <w:rFonts w:hint="eastAsia" w:ascii="仿宋_GB2312" w:hAnsi="仿宋" w:eastAsia="仿宋_GB2312"/>
          <w:sz w:val="32"/>
          <w:szCs w:val="32"/>
        </w:rPr>
      </w:pPr>
    </w:p>
    <w:p w14:paraId="7B8D90F7">
      <w:pPr>
        <w:spacing w:line="360" w:lineRule="auto"/>
        <w:rPr>
          <w:rFonts w:hint="eastAsia" w:ascii="仿宋_GB2312" w:hAnsi="仿宋" w:eastAsia="仿宋_GB2312"/>
          <w:sz w:val="32"/>
          <w:szCs w:val="32"/>
        </w:rPr>
      </w:pPr>
    </w:p>
    <w:p w14:paraId="00FF44F4">
      <w:pPr>
        <w:spacing w:line="360" w:lineRule="auto"/>
        <w:rPr>
          <w:rFonts w:hint="eastAsia" w:ascii="仿宋_GB2312" w:hAnsi="仿宋" w:eastAsia="仿宋_GB2312"/>
          <w:sz w:val="32"/>
          <w:szCs w:val="32"/>
        </w:rPr>
      </w:pPr>
    </w:p>
    <w:p w14:paraId="5C04E36F">
      <w:pPr>
        <w:spacing w:line="360" w:lineRule="auto"/>
        <w:jc w:val="right"/>
        <w:rPr>
          <w:rFonts w:hint="eastAsia" w:ascii="仿宋_GB2312" w:hAnsi="仿宋" w:eastAsia="仿宋_GB2312"/>
          <w:sz w:val="32"/>
          <w:szCs w:val="32"/>
        </w:rPr>
      </w:pPr>
      <w:r>
        <w:rPr>
          <w:rFonts w:hint="eastAsia" w:ascii="仿宋_GB2312" w:hAnsi="仿宋" w:eastAsia="仿宋_GB2312"/>
          <w:sz w:val="32"/>
          <w:szCs w:val="32"/>
        </w:rPr>
        <w:t>上海国家会计学院</w:t>
      </w:r>
    </w:p>
    <w:p w14:paraId="42960C44">
      <w:pPr>
        <w:spacing w:line="360" w:lineRule="auto"/>
        <w:jc w:val="right"/>
        <w:rPr>
          <w:rFonts w:hint="eastAsia" w:ascii="仿宋_GB2312" w:hAnsi="仿宋" w:eastAsia="仿宋_GB2312"/>
          <w:sz w:val="32"/>
          <w:szCs w:val="32"/>
        </w:rPr>
      </w:pPr>
      <w:r>
        <w:rPr>
          <w:rFonts w:hint="eastAsia" w:ascii="仿宋_GB2312" w:hAnsi="仿宋" w:eastAsia="仿宋_GB2312"/>
          <w:sz w:val="32"/>
          <w:szCs w:val="32"/>
        </w:rPr>
        <w:t>教务二部</w:t>
      </w:r>
    </w:p>
    <w:p w14:paraId="11616413">
      <w:pPr>
        <w:spacing w:line="360" w:lineRule="auto"/>
        <w:ind w:firstLine="6400" w:firstLineChars="2000"/>
        <w:jc w:val="right"/>
        <w:rPr>
          <w:rFonts w:hint="eastAsia" w:ascii="仿宋_GB2312" w:hAnsi="仿宋" w:eastAsia="仿宋_GB2312"/>
          <w:sz w:val="32"/>
          <w:szCs w:val="32"/>
        </w:rPr>
      </w:pPr>
      <w:r>
        <w:rPr>
          <w:rFonts w:hint="eastAsia" w:ascii="仿宋_GB2312" w:hAnsi="仿宋" w:eastAsia="仿宋_GB2312"/>
          <w:sz w:val="32"/>
          <w:szCs w:val="32"/>
        </w:rPr>
        <w:t>2025年</w:t>
      </w:r>
      <w:r>
        <w:rPr>
          <w:rFonts w:hint="eastAsia" w:ascii="仿宋_GB2312" w:hAnsi="仿宋" w:eastAsia="仿宋_GB2312"/>
          <w:sz w:val="32"/>
          <w:szCs w:val="32"/>
          <w:lang w:val="en-US" w:eastAsia="zh-CN"/>
        </w:rPr>
        <w:t>9</w:t>
      </w:r>
      <w:r>
        <w:rPr>
          <w:rFonts w:hint="eastAsia" w:ascii="仿宋_GB2312" w:hAnsi="仿宋" w:eastAsia="仿宋_GB2312"/>
          <w:sz w:val="32"/>
          <w:szCs w:val="32"/>
        </w:rPr>
        <w:t>月</w:t>
      </w:r>
    </w:p>
    <w:p w14:paraId="6048D86F">
      <w:pPr>
        <w:pStyle w:val="12"/>
        <w:spacing w:line="360" w:lineRule="auto"/>
        <w:rPr>
          <w:rFonts w:hint="eastAsia" w:ascii="黑体" w:hAnsi="黑体" w:eastAsia="黑体" w:cs="宋体"/>
          <w:b/>
          <w:bCs/>
          <w:kern w:val="0"/>
          <w:sz w:val="32"/>
          <w:szCs w:val="32"/>
        </w:rPr>
      </w:pPr>
      <w:r>
        <w:rPr>
          <w:rFonts w:hint="eastAsia" w:ascii="黑体" w:hAnsi="黑体" w:eastAsia="黑体" w:cs="宋体"/>
          <w:b/>
          <w:bCs/>
          <w:kern w:val="0"/>
          <w:sz w:val="32"/>
          <w:szCs w:val="32"/>
        </w:rPr>
        <w:t>附件一：课程简介</w:t>
      </w:r>
    </w:p>
    <w:p w14:paraId="65A4089E">
      <w:pPr>
        <w:spacing w:line="360" w:lineRule="auto"/>
        <w:rPr>
          <w:rFonts w:hint="eastAsia" w:ascii="仿宋_GB2312" w:hAnsi="仿宋" w:eastAsia="仿宋_GB2312" w:cs="Times New Roman"/>
          <w:b/>
          <w:color w:val="000000"/>
          <w:sz w:val="32"/>
          <w:szCs w:val="32"/>
        </w:rPr>
      </w:pPr>
      <w:r>
        <w:rPr>
          <w:rFonts w:hint="eastAsia" w:ascii="仿宋_GB2312" w:hAnsi="仿宋" w:eastAsia="仿宋_GB2312" w:cs="Times New Roman"/>
          <w:b/>
          <w:color w:val="000000"/>
          <w:sz w:val="32"/>
          <w:szCs w:val="32"/>
        </w:rPr>
        <w:t>一、培训安排</w:t>
      </w:r>
    </w:p>
    <w:tbl>
      <w:tblPr>
        <w:tblStyle w:val="6"/>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2831"/>
        <w:gridCol w:w="1862"/>
        <w:gridCol w:w="2816"/>
      </w:tblGrid>
      <w:tr w14:paraId="310D3159">
        <w:trPr>
          <w:jc w:val="center"/>
        </w:trPr>
        <w:tc>
          <w:tcPr>
            <w:tcW w:w="1275" w:type="dxa"/>
          </w:tcPr>
          <w:p w14:paraId="60EB7D9F">
            <w:pPr>
              <w:spacing w:line="360" w:lineRule="auto"/>
              <w:jc w:val="center"/>
              <w:rPr>
                <w:rFonts w:hint="eastAsia" w:ascii="仿宋_GB2312" w:hAnsi="宋体" w:eastAsia="仿宋_GB2312"/>
                <w:sz w:val="32"/>
                <w:szCs w:val="32"/>
              </w:rPr>
            </w:pPr>
            <w:r>
              <w:rPr>
                <w:rFonts w:hint="eastAsia" w:ascii="仿宋_GB2312" w:hAnsi="宋体" w:eastAsia="仿宋_GB2312"/>
                <w:sz w:val="32"/>
                <w:szCs w:val="32"/>
              </w:rPr>
              <w:t>第1期</w:t>
            </w:r>
          </w:p>
        </w:tc>
        <w:tc>
          <w:tcPr>
            <w:tcW w:w="2831" w:type="dxa"/>
          </w:tcPr>
          <w:p w14:paraId="453F3000">
            <w:pPr>
              <w:spacing w:line="360" w:lineRule="auto"/>
              <w:jc w:val="center"/>
              <w:rPr>
                <w:rFonts w:hint="eastAsia" w:ascii="仿宋_GB2312" w:hAnsi="宋体" w:eastAsia="仿宋_GB2312"/>
                <w:sz w:val="32"/>
                <w:szCs w:val="32"/>
              </w:rPr>
            </w:pPr>
            <w:r>
              <w:rPr>
                <w:rFonts w:hint="eastAsia" w:ascii="仿宋_GB2312" w:hAnsi="宋体" w:eastAsia="仿宋_GB2312"/>
                <w:sz w:val="32"/>
                <w:szCs w:val="32"/>
                <w:lang w:val="en-US" w:eastAsia="zh-CN"/>
              </w:rPr>
              <w:t>10</w:t>
            </w:r>
            <w:r>
              <w:rPr>
                <w:rFonts w:hint="eastAsia" w:ascii="仿宋_GB2312" w:hAnsi="宋体" w:eastAsia="仿宋_GB2312"/>
                <w:sz w:val="32"/>
                <w:szCs w:val="32"/>
              </w:rPr>
              <w:t>月</w:t>
            </w:r>
            <w:r>
              <w:rPr>
                <w:rFonts w:hint="eastAsia" w:ascii="仿宋_GB2312" w:hAnsi="宋体" w:eastAsia="仿宋_GB2312"/>
                <w:sz w:val="32"/>
                <w:szCs w:val="32"/>
                <w:lang w:val="en-US" w:eastAsia="zh-CN"/>
              </w:rPr>
              <w:t>17</w:t>
            </w:r>
            <w:r>
              <w:rPr>
                <w:rFonts w:hint="eastAsia" w:ascii="仿宋_GB2312" w:hAnsi="宋体" w:eastAsia="仿宋_GB2312"/>
                <w:sz w:val="32"/>
                <w:szCs w:val="32"/>
              </w:rPr>
              <w:t>日-</w:t>
            </w:r>
            <w:r>
              <w:rPr>
                <w:rFonts w:hint="eastAsia" w:ascii="仿宋_GB2312" w:hAnsi="宋体" w:eastAsia="仿宋_GB2312"/>
                <w:sz w:val="32"/>
                <w:szCs w:val="32"/>
                <w:lang w:val="en-US" w:eastAsia="zh-CN"/>
              </w:rPr>
              <w:t>19</w:t>
            </w:r>
            <w:r>
              <w:rPr>
                <w:rFonts w:hint="eastAsia" w:ascii="仿宋_GB2312" w:hAnsi="宋体" w:eastAsia="仿宋_GB2312"/>
                <w:sz w:val="32"/>
                <w:szCs w:val="32"/>
              </w:rPr>
              <w:t>日</w:t>
            </w:r>
          </w:p>
        </w:tc>
        <w:tc>
          <w:tcPr>
            <w:tcW w:w="1862" w:type="dxa"/>
          </w:tcPr>
          <w:p w14:paraId="242157C7">
            <w:pPr>
              <w:spacing w:line="360" w:lineRule="auto"/>
              <w:jc w:val="center"/>
              <w:rPr>
                <w:rFonts w:hint="eastAsia" w:ascii="仿宋_GB2312" w:hAnsi="宋体" w:eastAsia="仿宋_GB2312"/>
                <w:sz w:val="32"/>
                <w:szCs w:val="32"/>
              </w:rPr>
            </w:pPr>
            <w:r>
              <w:rPr>
                <w:rFonts w:hint="eastAsia" w:ascii="仿宋_GB2312" w:hAnsi="宋体" w:eastAsia="仿宋_GB2312"/>
                <w:sz w:val="32"/>
                <w:szCs w:val="32"/>
                <w:lang w:val="en-US" w:eastAsia="zh-CN"/>
              </w:rPr>
              <w:t>10</w:t>
            </w:r>
            <w:r>
              <w:rPr>
                <w:rFonts w:hint="eastAsia" w:ascii="仿宋_GB2312" w:hAnsi="宋体" w:eastAsia="仿宋_GB2312"/>
                <w:sz w:val="32"/>
                <w:szCs w:val="32"/>
              </w:rPr>
              <w:t>月</w:t>
            </w:r>
            <w:r>
              <w:rPr>
                <w:rFonts w:hint="eastAsia" w:ascii="仿宋_GB2312" w:hAnsi="宋体" w:eastAsia="仿宋_GB2312"/>
                <w:sz w:val="32"/>
                <w:szCs w:val="32"/>
                <w:lang w:val="en-US" w:eastAsia="zh-CN"/>
              </w:rPr>
              <w:t>16</w:t>
            </w:r>
            <w:r>
              <w:rPr>
                <w:rFonts w:hint="eastAsia" w:ascii="仿宋_GB2312" w:hAnsi="宋体" w:eastAsia="仿宋_GB2312"/>
                <w:sz w:val="32"/>
                <w:szCs w:val="32"/>
              </w:rPr>
              <w:t>日</w:t>
            </w:r>
          </w:p>
        </w:tc>
        <w:tc>
          <w:tcPr>
            <w:tcW w:w="2816" w:type="dxa"/>
          </w:tcPr>
          <w:p w14:paraId="2E3136B9">
            <w:pPr>
              <w:spacing w:line="360" w:lineRule="auto"/>
              <w:jc w:val="center"/>
              <w:rPr>
                <w:rFonts w:hint="eastAsia" w:ascii="仿宋_GB2312" w:hAnsi="宋体" w:eastAsia="仿宋_GB2312"/>
                <w:sz w:val="32"/>
                <w:szCs w:val="32"/>
              </w:rPr>
            </w:pPr>
            <w:r>
              <w:rPr>
                <w:rFonts w:hint="eastAsia" w:ascii="仿宋_GB2312" w:hAnsi="宋体" w:eastAsia="仿宋_GB2312"/>
                <w:sz w:val="32"/>
                <w:szCs w:val="32"/>
              </w:rPr>
              <w:t>上海国家会计学院</w:t>
            </w:r>
          </w:p>
        </w:tc>
      </w:tr>
    </w:tbl>
    <w:p w14:paraId="622AEA83">
      <w:pPr>
        <w:spacing w:line="360" w:lineRule="auto"/>
        <w:rPr>
          <w:rFonts w:hint="eastAsia" w:ascii="仿宋_GB2312" w:hAnsi="仿宋" w:eastAsia="仿宋_GB2312" w:cs="Times New Roman"/>
          <w:b/>
          <w:color w:val="000000"/>
          <w:sz w:val="32"/>
          <w:szCs w:val="32"/>
        </w:rPr>
      </w:pPr>
      <w:r>
        <w:rPr>
          <w:rFonts w:hint="eastAsia" w:ascii="仿宋_GB2312" w:hAnsi="仿宋" w:eastAsia="仿宋_GB2312" w:cs="Times New Roman"/>
          <w:b/>
          <w:color w:val="000000"/>
          <w:sz w:val="32"/>
          <w:szCs w:val="32"/>
        </w:rPr>
        <w:t>二、培训对象</w:t>
      </w:r>
    </w:p>
    <w:p w14:paraId="237392DC">
      <w:pPr>
        <w:spacing w:line="360" w:lineRule="auto"/>
        <w:rPr>
          <w:rFonts w:hint="eastAsia" w:ascii="仿宋_GB2312" w:hAnsi="仿宋" w:eastAsia="仿宋_GB2312" w:cs="Times New Roman"/>
          <w:bCs/>
          <w:color w:val="000000"/>
          <w:sz w:val="32"/>
          <w:szCs w:val="32"/>
        </w:rPr>
      </w:pPr>
      <w:r>
        <w:rPr>
          <w:rFonts w:hint="eastAsia" w:ascii="仿宋_GB2312" w:hAnsi="仿宋" w:eastAsia="仿宋_GB2312" w:cs="Times New Roman"/>
          <w:bCs/>
          <w:color w:val="000000"/>
          <w:sz w:val="32"/>
          <w:szCs w:val="32"/>
        </w:rPr>
        <w:t>企事业单位及中介机构财务高管，企业税务总监、税务负责人等专业人士，以及其他财税相关资深从业人员。</w:t>
      </w:r>
    </w:p>
    <w:p w14:paraId="23D5D1A6">
      <w:pPr>
        <w:spacing w:line="360" w:lineRule="auto"/>
        <w:rPr>
          <w:rFonts w:hint="eastAsia" w:ascii="仿宋_GB2312" w:hAnsi="仿宋" w:eastAsia="仿宋_GB2312"/>
          <w:b/>
          <w:sz w:val="32"/>
          <w:szCs w:val="32"/>
        </w:rPr>
      </w:pPr>
      <w:r>
        <w:rPr>
          <w:rFonts w:hint="eastAsia" w:ascii="仿宋_GB2312" w:hAnsi="仿宋" w:eastAsia="仿宋_GB2312"/>
          <w:b/>
          <w:sz w:val="32"/>
          <w:szCs w:val="32"/>
        </w:rPr>
        <w:t>三、课程收益</w:t>
      </w:r>
    </w:p>
    <w:p w14:paraId="7CD7362F">
      <w:pPr>
        <w:spacing w:line="360" w:lineRule="auto"/>
        <w:rPr>
          <w:rFonts w:hint="eastAsia" w:ascii="仿宋_GB2312" w:hAnsi="仿宋" w:eastAsia="仿宋_GB2312" w:cs="宋体"/>
          <w:bCs/>
          <w:kern w:val="0"/>
          <w:sz w:val="32"/>
          <w:szCs w:val="32"/>
        </w:rPr>
      </w:pPr>
      <w:r>
        <w:rPr>
          <w:rFonts w:hint="eastAsia" w:ascii="仿宋_GB2312" w:hAnsi="仿宋" w:eastAsia="仿宋_GB2312" w:cs="宋体"/>
          <w:bCs/>
          <w:kern w:val="0"/>
          <w:sz w:val="32"/>
          <w:szCs w:val="32"/>
          <w:lang w:val="en-US" w:eastAsia="zh-CN"/>
        </w:rPr>
        <w:t xml:space="preserve">1. </w:t>
      </w:r>
      <w:r>
        <w:rPr>
          <w:rFonts w:hint="eastAsia" w:ascii="仿宋_GB2312" w:hAnsi="仿宋" w:eastAsia="仿宋_GB2312" w:cs="宋体"/>
          <w:bCs/>
          <w:kern w:val="0"/>
          <w:sz w:val="32"/>
          <w:szCs w:val="32"/>
        </w:rPr>
        <w:t>掌握增值税与所得税合规要点：明晰数字政府税收监管逻辑、“信用 + 风险” 体系，解读政策变动，通过案例规避虚开发票、“税收洼地” 等风险。</w:t>
      </w:r>
    </w:p>
    <w:p w14:paraId="71BC9444">
      <w:pPr>
        <w:spacing w:line="360" w:lineRule="auto"/>
        <w:rPr>
          <w:rFonts w:hint="eastAsia" w:ascii="仿宋_GB2312" w:hAnsi="仿宋" w:eastAsia="仿宋_GB2312" w:cs="宋体"/>
          <w:bCs/>
          <w:kern w:val="0"/>
          <w:sz w:val="32"/>
          <w:szCs w:val="32"/>
        </w:rPr>
      </w:pPr>
      <w:r>
        <w:rPr>
          <w:rFonts w:hint="eastAsia" w:ascii="仿宋_GB2312" w:hAnsi="仿宋" w:eastAsia="仿宋_GB2312" w:cs="宋体"/>
          <w:bCs/>
          <w:kern w:val="0"/>
          <w:sz w:val="32"/>
          <w:szCs w:val="32"/>
          <w:lang w:val="en-US" w:eastAsia="zh-CN"/>
        </w:rPr>
        <w:t xml:space="preserve">2. </w:t>
      </w:r>
      <w:r>
        <w:rPr>
          <w:rFonts w:hint="eastAsia" w:ascii="仿宋_GB2312" w:hAnsi="仿宋" w:eastAsia="仿宋_GB2312" w:cs="宋体"/>
          <w:bCs/>
          <w:kern w:val="0"/>
          <w:sz w:val="32"/>
          <w:szCs w:val="32"/>
        </w:rPr>
        <w:t>管控社保与税费联动风险：了解社保改革及一体化稽查特点，掌握 “三比对”、异地用工等风险防范方法，明晰自愿放弃社保等法律问题。</w:t>
      </w:r>
    </w:p>
    <w:p w14:paraId="00DAC6BF">
      <w:pPr>
        <w:spacing w:line="360" w:lineRule="auto"/>
        <w:rPr>
          <w:rFonts w:hint="eastAsia" w:ascii="仿宋_GB2312" w:hAnsi="仿宋" w:eastAsia="仿宋_GB2312" w:cs="宋体"/>
          <w:bCs/>
          <w:kern w:val="0"/>
          <w:sz w:val="32"/>
          <w:szCs w:val="32"/>
        </w:rPr>
      </w:pPr>
      <w:r>
        <w:rPr>
          <w:rFonts w:hint="eastAsia" w:ascii="仿宋_GB2312" w:hAnsi="仿宋" w:eastAsia="仿宋_GB2312" w:cs="宋体"/>
          <w:bCs/>
          <w:kern w:val="0"/>
          <w:sz w:val="32"/>
          <w:szCs w:val="32"/>
          <w:lang w:val="en-US" w:eastAsia="zh-CN"/>
        </w:rPr>
        <w:t xml:space="preserve">3. </w:t>
      </w:r>
      <w:r>
        <w:rPr>
          <w:rFonts w:hint="eastAsia" w:ascii="仿宋_GB2312" w:hAnsi="仿宋" w:eastAsia="仿宋_GB2312" w:cs="宋体"/>
          <w:bCs/>
          <w:kern w:val="0"/>
          <w:sz w:val="32"/>
          <w:szCs w:val="32"/>
        </w:rPr>
        <w:t>规避税种申报比对风险：熟练增值税、企税等申报表逻辑，应对数电票、财产行为税等比对风险，避免申报偏差。</w:t>
      </w:r>
    </w:p>
    <w:p w14:paraId="055EF803">
      <w:pPr>
        <w:spacing w:line="360" w:lineRule="auto"/>
        <w:rPr>
          <w:rFonts w:hint="eastAsia" w:ascii="仿宋_GB2312" w:hAnsi="仿宋" w:eastAsia="仿宋_GB2312" w:cs="宋体"/>
          <w:bCs/>
          <w:kern w:val="0"/>
          <w:sz w:val="32"/>
          <w:szCs w:val="32"/>
          <w:lang w:eastAsia="zh-CN"/>
        </w:rPr>
      </w:pPr>
      <w:r>
        <w:rPr>
          <w:rFonts w:hint="eastAsia" w:ascii="仿宋_GB2312" w:hAnsi="仿宋" w:eastAsia="仿宋_GB2312" w:cs="宋体"/>
          <w:bCs/>
          <w:kern w:val="0"/>
          <w:sz w:val="32"/>
          <w:szCs w:val="32"/>
          <w:lang w:val="en-US" w:eastAsia="zh-CN"/>
        </w:rPr>
        <w:t xml:space="preserve">4. </w:t>
      </w:r>
      <w:r>
        <w:rPr>
          <w:rFonts w:hint="eastAsia" w:ascii="仿宋_GB2312" w:hAnsi="仿宋" w:eastAsia="仿宋_GB2312" w:cs="宋体"/>
          <w:bCs/>
          <w:kern w:val="0"/>
          <w:sz w:val="32"/>
          <w:szCs w:val="32"/>
        </w:rPr>
        <w:t>构建企业整体合规体系：理解新型税收监管机制（多部门协同、多税种联动），从单一合规转向全维度合规</w:t>
      </w:r>
      <w:r>
        <w:rPr>
          <w:rFonts w:hint="eastAsia" w:ascii="仿宋_GB2312" w:hAnsi="仿宋" w:eastAsia="仿宋_GB2312" w:cs="宋体"/>
          <w:bCs/>
          <w:kern w:val="0"/>
          <w:sz w:val="32"/>
          <w:szCs w:val="32"/>
          <w:lang w:eastAsia="zh-CN"/>
        </w:rPr>
        <w:t>。</w:t>
      </w:r>
    </w:p>
    <w:p w14:paraId="10669B29">
      <w:pPr>
        <w:spacing w:line="360" w:lineRule="auto"/>
        <w:rPr>
          <w:rFonts w:hint="eastAsia" w:ascii="仿宋_GB2312" w:hAnsi="仿宋" w:eastAsia="仿宋_GB2312"/>
          <w:b/>
          <w:sz w:val="32"/>
          <w:szCs w:val="32"/>
        </w:rPr>
      </w:pPr>
      <w:r>
        <w:rPr>
          <w:rFonts w:hint="eastAsia" w:ascii="仿宋_GB2312" w:hAnsi="仿宋" w:eastAsia="仿宋_GB2312"/>
          <w:b/>
          <w:sz w:val="32"/>
          <w:szCs w:val="32"/>
        </w:rPr>
        <w:t>四、课程内容</w:t>
      </w:r>
    </w:p>
    <w:p w14:paraId="649654B7">
      <w:pPr>
        <w:numPr>
          <w:ilvl w:val="0"/>
          <w:numId w:val="0"/>
        </w:numPr>
        <w:jc w:val="both"/>
        <w:rPr>
          <w:rFonts w:hint="eastAsia" w:ascii="仿宋_GB2312" w:hAnsi="仿宋_GB2312" w:eastAsia="仿宋_GB2312"/>
          <w:sz w:val="32"/>
          <w:szCs w:val="32"/>
        </w:rPr>
      </w:pP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一）</w:t>
      </w:r>
      <w:r>
        <w:rPr>
          <w:rFonts w:hint="eastAsia" w:ascii="仿宋_GB2312" w:hAnsi="仿宋_GB2312" w:eastAsia="仿宋_GB2312"/>
          <w:sz w:val="32"/>
          <w:szCs w:val="32"/>
        </w:rPr>
        <w:t>增值税和所得税合规风险防范</w:t>
      </w:r>
    </w:p>
    <w:p w14:paraId="2BABB113">
      <w:pPr>
        <w:numPr>
          <w:ilvl w:val="0"/>
          <w:numId w:val="0"/>
        </w:numPr>
        <w:ind w:firstLine="640" w:firstLineChars="200"/>
        <w:jc w:val="both"/>
        <w:rPr>
          <w:rFonts w:hint="eastAsia" w:ascii="仿宋_GB2312" w:hAnsi="仿宋_GB2312" w:eastAsia="仿宋_GB2312"/>
          <w:sz w:val="32"/>
          <w:szCs w:val="32"/>
        </w:rPr>
      </w:pPr>
      <w:r>
        <w:rPr>
          <w:rFonts w:hint="eastAsia" w:ascii="仿宋_GB2312" w:hAnsi="仿宋_GB2312" w:eastAsia="仿宋_GB2312"/>
          <w:sz w:val="32"/>
          <w:szCs w:val="32"/>
        </w:rPr>
        <w:t>1.如何理解加强数字政府建设的“技术融合、业务融合、数据融合，提升跨层级、跨地域、跨系统、跨部门、跨业务的协同管理和服务水平---促进数字政府建设与数字经济、数字社会协调发展。</w:t>
      </w:r>
    </w:p>
    <w:p w14:paraId="74B4F985">
      <w:pPr>
        <w:ind w:firstLine="640" w:firstLineChars="200"/>
        <w:jc w:val="both"/>
        <w:rPr>
          <w:rFonts w:hint="eastAsia" w:ascii="仿宋_GB2312" w:hAnsi="仿宋_GB2312" w:eastAsia="仿宋_GB2312"/>
          <w:sz w:val="32"/>
          <w:szCs w:val="32"/>
        </w:rPr>
      </w:pPr>
      <w:r>
        <w:rPr>
          <w:rFonts w:hint="eastAsia" w:ascii="仿宋_GB2312" w:hAnsi="仿宋_GB2312" w:eastAsia="仿宋_GB2312"/>
          <w:sz w:val="32"/>
          <w:szCs w:val="32"/>
        </w:rPr>
        <w:t>2.政府是如何实现对市场主体“数据获取、数据归集、数据 分析、数据应用”的？</w:t>
      </w:r>
    </w:p>
    <w:p w14:paraId="5DD5586E">
      <w:pPr>
        <w:ind w:firstLine="640" w:firstLineChars="200"/>
        <w:jc w:val="both"/>
        <w:rPr>
          <w:rFonts w:hint="eastAsia" w:ascii="仿宋_GB2312" w:hAnsi="仿宋_GB2312" w:eastAsia="仿宋_GB2312"/>
          <w:sz w:val="32"/>
          <w:szCs w:val="32"/>
        </w:rPr>
      </w:pPr>
      <w:r>
        <w:rPr>
          <w:rFonts w:hint="eastAsia" w:ascii="仿宋_GB2312" w:hAnsi="仿宋_GB2312" w:eastAsia="仿宋_GB2312"/>
          <w:sz w:val="32"/>
          <w:szCs w:val="32"/>
        </w:rPr>
        <w:t xml:space="preserve">3.什么是纳税人信息的智能集成？如何理解“经济交易信息‘一票式 ’智能集成”？ </w:t>
      </w:r>
    </w:p>
    <w:p w14:paraId="5CAE4A34">
      <w:pPr>
        <w:ind w:firstLine="640" w:firstLineChars="200"/>
        <w:jc w:val="both"/>
        <w:rPr>
          <w:rFonts w:hint="eastAsia" w:ascii="仿宋_GB2312" w:hAnsi="仿宋_GB2312" w:eastAsia="仿宋_GB2312"/>
          <w:sz w:val="32"/>
          <w:szCs w:val="32"/>
        </w:rPr>
      </w:pPr>
      <w:r>
        <w:rPr>
          <w:rFonts w:hint="eastAsia" w:ascii="仿宋_GB2312" w:hAnsi="仿宋_GB2312" w:eastAsia="仿宋_GB2312"/>
          <w:sz w:val="32"/>
          <w:szCs w:val="32"/>
        </w:rPr>
        <w:t>4.解析税收动态“信用＋风险”的监管体系及八部门联合打击涉税违法机制。</w:t>
      </w:r>
    </w:p>
    <w:p w14:paraId="2561895B">
      <w:pPr>
        <w:ind w:firstLine="640" w:firstLineChars="200"/>
        <w:jc w:val="both"/>
        <w:rPr>
          <w:rFonts w:ascii="仿宋_GB2312" w:hAnsi="仿宋_GB2312" w:eastAsia="仿宋_GB2312"/>
          <w:sz w:val="32"/>
          <w:szCs w:val="32"/>
        </w:rPr>
      </w:pPr>
      <w:r>
        <w:rPr>
          <w:rFonts w:hint="eastAsia" w:ascii="仿宋_GB2312" w:hAnsi="仿宋_GB2312" w:eastAsia="仿宋_GB2312"/>
          <w:sz w:val="32"/>
          <w:szCs w:val="32"/>
        </w:rPr>
        <w:t>5.分享税务部门综合运用“五步工作法”稽查案例。</w:t>
      </w:r>
    </w:p>
    <w:p w14:paraId="1855C342">
      <w:pPr>
        <w:ind w:firstLine="640" w:firstLineChars="200"/>
        <w:jc w:val="both"/>
        <w:rPr>
          <w:rFonts w:ascii="仿宋_GB2312" w:hAnsi="仿宋_GB2312" w:eastAsia="仿宋_GB2312"/>
          <w:sz w:val="32"/>
          <w:szCs w:val="32"/>
        </w:rPr>
      </w:pPr>
      <w:r>
        <w:rPr>
          <w:rFonts w:hint="eastAsia" w:ascii="仿宋_GB2312" w:hAnsi="仿宋_GB2312" w:eastAsia="仿宋_GB2312"/>
          <w:sz w:val="32"/>
          <w:szCs w:val="32"/>
        </w:rPr>
        <w:t>6.增值税法中视同销售发生哪些变动？</w:t>
      </w:r>
    </w:p>
    <w:p w14:paraId="0445114D">
      <w:pPr>
        <w:ind w:firstLine="640" w:firstLineChars="200"/>
        <w:jc w:val="both"/>
        <w:rPr>
          <w:rFonts w:ascii="仿宋_GB2312" w:hAnsi="仿宋_GB2312" w:eastAsia="仿宋_GB2312"/>
          <w:sz w:val="32"/>
          <w:szCs w:val="32"/>
        </w:rPr>
      </w:pPr>
      <w:r>
        <w:rPr>
          <w:rFonts w:hint="eastAsia" w:ascii="仿宋_GB2312" w:hAnsi="仿宋_GB2312" w:eastAsia="仿宋_GB2312"/>
          <w:sz w:val="32"/>
          <w:szCs w:val="32"/>
        </w:rPr>
        <w:t>7.增值税法条例征求意见稿中一项销售行为主辅业如何确定？</w:t>
      </w:r>
    </w:p>
    <w:p w14:paraId="3CF5D889">
      <w:pPr>
        <w:ind w:firstLine="640" w:firstLineChars="200"/>
        <w:jc w:val="both"/>
        <w:rPr>
          <w:rFonts w:ascii="仿宋_GB2312" w:hAnsi="仿宋_GB2312" w:eastAsia="仿宋_GB2312"/>
          <w:sz w:val="32"/>
          <w:szCs w:val="32"/>
        </w:rPr>
      </w:pPr>
      <w:r>
        <w:rPr>
          <w:rFonts w:hint="eastAsia" w:ascii="仿宋_GB2312" w:hAnsi="仿宋_GB2312" w:eastAsia="仿宋_GB2312"/>
          <w:sz w:val="32"/>
          <w:szCs w:val="32"/>
        </w:rPr>
        <w:t>8.增值税法条例征求意见稿中税收优惠条款发生哪些变化？</w:t>
      </w:r>
    </w:p>
    <w:p w14:paraId="79EB0396">
      <w:pPr>
        <w:ind w:firstLine="640" w:firstLineChars="200"/>
        <w:jc w:val="both"/>
        <w:rPr>
          <w:rFonts w:ascii="仿宋_GB2312" w:hAnsi="仿宋_GB2312" w:eastAsia="仿宋_GB2312"/>
          <w:sz w:val="32"/>
          <w:szCs w:val="32"/>
        </w:rPr>
      </w:pPr>
      <w:r>
        <w:rPr>
          <w:rFonts w:hint="eastAsia" w:ascii="仿宋_GB2312" w:hAnsi="仿宋_GB2312" w:eastAsia="仿宋_GB2312"/>
          <w:sz w:val="32"/>
          <w:szCs w:val="32"/>
        </w:rPr>
        <w:t>9.增值税法条例征求意见稿中小规模纳税人登记管理发生哪些变化？</w:t>
      </w:r>
    </w:p>
    <w:p w14:paraId="2863068E">
      <w:pPr>
        <w:ind w:firstLine="640" w:firstLineChars="200"/>
        <w:jc w:val="both"/>
        <w:rPr>
          <w:rFonts w:hint="eastAsia" w:ascii="仿宋_GB2312" w:hAnsi="仿宋_GB2312" w:eastAsia="仿宋_GB2312"/>
          <w:sz w:val="32"/>
          <w:szCs w:val="32"/>
        </w:rPr>
      </w:pPr>
      <w:r>
        <w:rPr>
          <w:rFonts w:hint="eastAsia" w:ascii="仿宋_GB2312" w:hAnsi="仿宋_GB2312" w:eastAsia="仿宋_GB2312"/>
          <w:sz w:val="32"/>
          <w:szCs w:val="32"/>
        </w:rPr>
        <w:t>10.增值税法条例征求意见稿中不得抵扣进项税额发生哪些变化？</w:t>
      </w:r>
    </w:p>
    <w:p w14:paraId="29DF2115">
      <w:pPr>
        <w:ind w:firstLine="640" w:firstLineChars="200"/>
        <w:jc w:val="both"/>
        <w:rPr>
          <w:rFonts w:hint="eastAsia" w:ascii="仿宋_GB2312" w:hAnsi="仿宋_GB2312" w:eastAsia="仿宋_GB2312"/>
          <w:sz w:val="32"/>
          <w:szCs w:val="32"/>
        </w:rPr>
      </w:pPr>
      <w:r>
        <w:rPr>
          <w:rFonts w:hint="eastAsia" w:ascii="仿宋_GB2312" w:hAnsi="仿宋_GB2312" w:eastAsia="仿宋_GB2312"/>
          <w:sz w:val="32"/>
          <w:szCs w:val="32"/>
        </w:rPr>
        <w:t>11.案例分析：一些地方招商引资中违规出台“小政策”、 形成“税收洼地”等问题。</w:t>
      </w:r>
    </w:p>
    <w:p w14:paraId="7004DEDE">
      <w:pPr>
        <w:ind w:firstLine="640" w:firstLineChars="200"/>
        <w:jc w:val="both"/>
        <w:rPr>
          <w:rFonts w:hint="eastAsia" w:ascii="仿宋_GB2312" w:hAnsi="仿宋_GB2312" w:eastAsia="仿宋_GB2312"/>
          <w:sz w:val="32"/>
          <w:szCs w:val="32"/>
        </w:rPr>
      </w:pPr>
      <w:r>
        <w:rPr>
          <w:rFonts w:hint="eastAsia" w:ascii="仿宋_GB2312" w:hAnsi="仿宋_GB2312" w:eastAsia="仿宋_GB2312"/>
          <w:sz w:val="32"/>
          <w:szCs w:val="32"/>
        </w:rPr>
        <w:t>12.案例分享：财务造假及涉案人员法律责任。引 申：纳税人为实现 IPO，故意多计算收入，多缴纳税款，上市成功后，多交税款是否可以申请退还？</w:t>
      </w:r>
    </w:p>
    <w:p w14:paraId="05E6EC5A">
      <w:pPr>
        <w:ind w:firstLine="640" w:firstLineChars="200"/>
        <w:jc w:val="both"/>
        <w:rPr>
          <w:rFonts w:hint="eastAsia" w:ascii="仿宋_GB2312" w:hAnsi="仿宋_GB2312" w:eastAsia="仿宋_GB2312"/>
          <w:sz w:val="32"/>
          <w:szCs w:val="32"/>
        </w:rPr>
      </w:pPr>
      <w:r>
        <w:rPr>
          <w:rFonts w:hint="eastAsia" w:ascii="仿宋_GB2312" w:hAnsi="仿宋_GB2312" w:eastAsia="仿宋_GB2312"/>
          <w:sz w:val="32"/>
          <w:szCs w:val="32"/>
        </w:rPr>
        <w:t>13.案例分享：《全国法院民商事审判工作会议纪要》中的资本显著不足的风险、约定与平等民事主体之间“共同出资共担风险”的原则明显相悖投资风险。</w:t>
      </w:r>
    </w:p>
    <w:p w14:paraId="0705FC5C">
      <w:pPr>
        <w:ind w:firstLine="640" w:firstLineChars="200"/>
        <w:jc w:val="both"/>
        <w:rPr>
          <w:rFonts w:hint="eastAsia" w:ascii="仿宋_GB2312" w:hAnsi="仿宋_GB2312" w:eastAsia="仿宋_GB2312"/>
          <w:sz w:val="32"/>
          <w:szCs w:val="32"/>
        </w:rPr>
      </w:pPr>
      <w:r>
        <w:rPr>
          <w:rFonts w:hint="eastAsia" w:ascii="仿宋_GB2312" w:hAnsi="仿宋_GB2312" w:eastAsia="仿宋_GB2312"/>
          <w:sz w:val="32"/>
          <w:szCs w:val="32"/>
        </w:rPr>
        <w:t>14.案例分析：组织形式转换的税收问题。</w:t>
      </w:r>
    </w:p>
    <w:p w14:paraId="0BAF09BA">
      <w:pPr>
        <w:ind w:firstLine="640" w:firstLineChars="200"/>
        <w:jc w:val="both"/>
        <w:rPr>
          <w:rFonts w:hint="eastAsia" w:ascii="仿宋_GB2312" w:hAnsi="仿宋_GB2312" w:eastAsia="仿宋_GB2312"/>
          <w:sz w:val="32"/>
          <w:szCs w:val="32"/>
        </w:rPr>
      </w:pPr>
      <w:r>
        <w:rPr>
          <w:rFonts w:hint="eastAsia" w:ascii="仿宋_GB2312" w:hAnsi="仿宋_GB2312" w:eastAsia="仿宋_GB2312"/>
          <w:sz w:val="32"/>
          <w:szCs w:val="32"/>
        </w:rPr>
        <w:t>15.认缴的出资额期限与相应税收政策分析；</w:t>
      </w:r>
    </w:p>
    <w:p w14:paraId="5514CFCE">
      <w:pPr>
        <w:ind w:firstLine="640" w:firstLineChars="200"/>
        <w:jc w:val="both"/>
        <w:rPr>
          <w:rFonts w:hint="eastAsia" w:ascii="仿宋_GB2312" w:hAnsi="仿宋_GB2312" w:eastAsia="仿宋_GB2312"/>
          <w:sz w:val="32"/>
          <w:szCs w:val="32"/>
        </w:rPr>
      </w:pPr>
      <w:r>
        <w:rPr>
          <w:rFonts w:hint="eastAsia" w:ascii="仿宋_GB2312" w:hAnsi="仿宋_GB2312" w:eastAsia="仿宋_GB2312"/>
          <w:sz w:val="32"/>
          <w:szCs w:val="32"/>
        </w:rPr>
        <w:t>16.出资期限的“过渡期”安排对税收的影响；</w:t>
      </w:r>
    </w:p>
    <w:p w14:paraId="1A74E442">
      <w:pPr>
        <w:ind w:firstLine="640" w:firstLineChars="200"/>
        <w:jc w:val="both"/>
        <w:rPr>
          <w:rFonts w:hint="eastAsia" w:ascii="仿宋_GB2312" w:hAnsi="仿宋_GB2312" w:eastAsia="仿宋_GB2312"/>
          <w:sz w:val="32"/>
          <w:szCs w:val="32"/>
        </w:rPr>
      </w:pPr>
      <w:r>
        <w:rPr>
          <w:rFonts w:hint="eastAsia" w:ascii="仿宋_GB2312" w:hAnsi="仿宋_GB2312" w:eastAsia="仿宋_GB2312"/>
          <w:sz w:val="32"/>
          <w:szCs w:val="32"/>
        </w:rPr>
        <w:t>17.股东非货币资产出资的税收问题；</w:t>
      </w:r>
    </w:p>
    <w:p w14:paraId="11658A53">
      <w:pPr>
        <w:ind w:firstLine="640" w:firstLineChars="200"/>
        <w:jc w:val="both"/>
        <w:rPr>
          <w:rFonts w:hint="eastAsia" w:ascii="仿宋_GB2312" w:hAnsi="仿宋_GB2312" w:eastAsia="仿宋_GB2312"/>
          <w:sz w:val="32"/>
          <w:szCs w:val="32"/>
        </w:rPr>
      </w:pPr>
      <w:r>
        <w:rPr>
          <w:rFonts w:hint="eastAsia" w:ascii="仿宋_GB2312" w:hAnsi="仿宋_GB2312" w:eastAsia="仿宋_GB2312"/>
          <w:sz w:val="32"/>
          <w:szCs w:val="32"/>
        </w:rPr>
        <w:t>18.案例分析：对税务机关核定计税价格的司法尊重。</w:t>
      </w:r>
    </w:p>
    <w:p w14:paraId="7F785D87">
      <w:pPr>
        <w:ind w:firstLine="640" w:firstLineChars="200"/>
        <w:jc w:val="both"/>
        <w:rPr>
          <w:rFonts w:hint="eastAsia" w:ascii="仿宋_GB2312" w:hAnsi="仿宋_GB2312" w:eastAsia="仿宋_GB2312"/>
          <w:sz w:val="32"/>
          <w:szCs w:val="32"/>
        </w:rPr>
      </w:pPr>
      <w:r>
        <w:rPr>
          <w:rFonts w:hint="eastAsia" w:ascii="仿宋_GB2312" w:hAnsi="仿宋_GB2312" w:eastAsia="仿宋_GB2312"/>
          <w:sz w:val="32"/>
          <w:szCs w:val="32"/>
        </w:rPr>
        <w:t>19.案例分析：公司注销后发现涉嫌偷漏税款问题。</w:t>
      </w:r>
    </w:p>
    <w:p w14:paraId="47A8F9E8">
      <w:pPr>
        <w:ind w:firstLine="640" w:firstLineChars="200"/>
        <w:jc w:val="both"/>
        <w:rPr>
          <w:rFonts w:hint="eastAsia" w:ascii="仿宋_GB2312" w:hAnsi="仿宋_GB2312" w:eastAsia="仿宋_GB2312"/>
          <w:sz w:val="32"/>
          <w:szCs w:val="32"/>
        </w:rPr>
      </w:pPr>
      <w:r>
        <w:rPr>
          <w:rFonts w:hint="eastAsia" w:ascii="仿宋_GB2312" w:hAnsi="仿宋_GB2312" w:eastAsia="仿宋_GB2312"/>
          <w:sz w:val="32"/>
          <w:szCs w:val="32"/>
        </w:rPr>
        <w:t>20.公司税后利润分配规定及不按持股比例分配的税收风险；</w:t>
      </w:r>
    </w:p>
    <w:p w14:paraId="3888087B">
      <w:pPr>
        <w:ind w:firstLine="640" w:firstLineChars="200"/>
        <w:jc w:val="both"/>
        <w:rPr>
          <w:rFonts w:hint="eastAsia" w:ascii="仿宋_GB2312" w:hAnsi="仿宋_GB2312" w:eastAsia="仿宋_GB2312"/>
          <w:sz w:val="32"/>
          <w:szCs w:val="32"/>
        </w:rPr>
      </w:pPr>
      <w:r>
        <w:rPr>
          <w:rFonts w:hint="eastAsia" w:ascii="仿宋_GB2312" w:hAnsi="仿宋_GB2312" w:eastAsia="仿宋_GB2312"/>
          <w:sz w:val="32"/>
          <w:szCs w:val="32"/>
        </w:rPr>
        <w:t>21.资本公积金转为增加公司注册资本的税收问题；</w:t>
      </w:r>
    </w:p>
    <w:p w14:paraId="55BA304C">
      <w:pPr>
        <w:ind w:firstLine="640" w:firstLineChars="200"/>
        <w:jc w:val="both"/>
        <w:rPr>
          <w:rFonts w:hint="eastAsia" w:ascii="仿宋_GB2312" w:hAnsi="仿宋_GB2312" w:eastAsia="仿宋_GB2312"/>
          <w:sz w:val="32"/>
          <w:szCs w:val="32"/>
        </w:rPr>
      </w:pPr>
      <w:r>
        <w:rPr>
          <w:rFonts w:hint="eastAsia" w:ascii="仿宋_GB2312" w:hAnsi="仿宋_GB2312" w:eastAsia="仿宋_GB2312"/>
          <w:sz w:val="32"/>
          <w:szCs w:val="32"/>
        </w:rPr>
        <w:t>22.案例分析：分红送股的税收问题。</w:t>
      </w:r>
    </w:p>
    <w:p w14:paraId="62DBB6BD">
      <w:pPr>
        <w:ind w:firstLine="640" w:firstLineChars="200"/>
        <w:jc w:val="both"/>
        <w:rPr>
          <w:rFonts w:hint="eastAsia" w:ascii="仿宋_GB2312" w:hAnsi="仿宋_GB2312" w:eastAsia="仿宋_GB2312"/>
          <w:sz w:val="32"/>
          <w:szCs w:val="32"/>
        </w:rPr>
      </w:pPr>
      <w:r>
        <w:rPr>
          <w:rFonts w:hint="eastAsia" w:ascii="仿宋_GB2312" w:hAnsi="仿宋_GB2312" w:eastAsia="仿宋_GB2312"/>
          <w:sz w:val="32"/>
          <w:szCs w:val="32"/>
        </w:rPr>
        <w:t>23.案例解析：增值税异常抵扣凭证风险防范</w:t>
      </w:r>
    </w:p>
    <w:p w14:paraId="21FE566A">
      <w:pPr>
        <w:ind w:firstLine="640" w:firstLineChars="200"/>
        <w:jc w:val="both"/>
        <w:rPr>
          <w:rFonts w:hint="eastAsia" w:ascii="仿宋_GB2312" w:hAnsi="仿宋_GB2312" w:eastAsia="仿宋_GB2312"/>
          <w:sz w:val="32"/>
          <w:szCs w:val="32"/>
        </w:rPr>
      </w:pPr>
      <w:r>
        <w:rPr>
          <w:rFonts w:hint="eastAsia" w:ascii="仿宋_GB2312" w:hAnsi="仿宋_GB2312" w:eastAsia="仿宋_GB2312"/>
          <w:sz w:val="32"/>
          <w:szCs w:val="32"/>
        </w:rPr>
        <w:t>24.案例解析：取得虚开发票企业所得税风险防范</w:t>
      </w:r>
    </w:p>
    <w:p w14:paraId="3545ED9C">
      <w:pPr>
        <w:ind w:firstLine="640" w:firstLineChars="200"/>
        <w:jc w:val="both"/>
        <w:rPr>
          <w:rFonts w:hint="eastAsia" w:ascii="仿宋_GB2312" w:hAnsi="仿宋_GB2312" w:eastAsia="仿宋_GB2312"/>
          <w:sz w:val="32"/>
          <w:szCs w:val="32"/>
        </w:rPr>
      </w:pPr>
      <w:r>
        <w:rPr>
          <w:rFonts w:hint="eastAsia" w:ascii="仿宋_GB2312" w:hAnsi="仿宋_GB2312" w:eastAsia="仿宋_GB2312"/>
          <w:sz w:val="32"/>
          <w:szCs w:val="32"/>
        </w:rPr>
        <w:t>25.高新技术企业为何成为补缴企业所得税的重灾区？</w:t>
      </w:r>
    </w:p>
    <w:p w14:paraId="56B94FFD">
      <w:pPr>
        <w:ind w:firstLine="640" w:firstLineChars="200"/>
        <w:jc w:val="both"/>
        <w:rPr>
          <w:rFonts w:hint="eastAsia" w:ascii="仿宋_GB2312" w:hAnsi="仿宋_GB2312" w:eastAsia="仿宋_GB2312"/>
          <w:sz w:val="32"/>
          <w:szCs w:val="32"/>
        </w:rPr>
      </w:pPr>
      <w:r>
        <w:rPr>
          <w:rFonts w:hint="eastAsia" w:ascii="仿宋_GB2312" w:hAnsi="仿宋_GB2312" w:eastAsia="仿宋_GB2312"/>
          <w:sz w:val="32"/>
          <w:szCs w:val="32"/>
        </w:rPr>
        <w:t>26.案例分析：对行政机关专业认定的司法尊重——以税款核定权为例</w:t>
      </w:r>
    </w:p>
    <w:p w14:paraId="1E3E8058">
      <w:pPr>
        <w:ind w:firstLine="640" w:firstLineChars="200"/>
        <w:jc w:val="both"/>
        <w:rPr>
          <w:rFonts w:hint="eastAsia" w:ascii="仿宋_GB2312" w:hAnsi="仿宋_GB2312" w:eastAsia="仿宋_GB2312"/>
          <w:sz w:val="32"/>
          <w:szCs w:val="32"/>
        </w:rPr>
      </w:pPr>
      <w:r>
        <w:rPr>
          <w:rFonts w:hint="eastAsia" w:ascii="仿宋_GB2312" w:hAnsi="仿宋_GB2312" w:eastAsia="仿宋_GB2312"/>
          <w:sz w:val="32"/>
          <w:szCs w:val="32"/>
        </w:rPr>
        <w:t>27.案例分析：实质重于形式原则在经济业务定性中的运用</w:t>
      </w:r>
    </w:p>
    <w:p w14:paraId="5ECE64DE">
      <w:pPr>
        <w:ind w:firstLine="640" w:firstLineChars="200"/>
        <w:jc w:val="both"/>
        <w:rPr>
          <w:rFonts w:hint="eastAsia" w:ascii="仿宋_GB2312" w:hAnsi="仿宋_GB2312" w:eastAsia="仿宋_GB2312"/>
          <w:sz w:val="32"/>
          <w:szCs w:val="32"/>
        </w:rPr>
      </w:pPr>
      <w:r>
        <w:rPr>
          <w:rFonts w:hint="eastAsia" w:ascii="仿宋_GB2312" w:hAnsi="仿宋_GB2312" w:eastAsia="仿宋_GB2312"/>
          <w:sz w:val="32"/>
          <w:szCs w:val="32"/>
        </w:rPr>
        <w:t>28.统一采购模式下成员单位之间是否需要确认视同应税交易收入？</w:t>
      </w:r>
    </w:p>
    <w:p w14:paraId="00AE51E3">
      <w:pPr>
        <w:ind w:firstLine="640" w:firstLineChars="200"/>
        <w:jc w:val="both"/>
        <w:rPr>
          <w:rFonts w:ascii="仿宋_GB2312" w:hAnsi="仿宋_GB2312" w:eastAsia="仿宋_GB2312"/>
          <w:sz w:val="32"/>
          <w:szCs w:val="32"/>
        </w:rPr>
      </w:pPr>
      <w:r>
        <w:rPr>
          <w:rFonts w:hint="eastAsia" w:ascii="仿宋_GB2312" w:hAnsi="仿宋_GB2312" w:eastAsia="仿宋_GB2312"/>
          <w:sz w:val="32"/>
          <w:szCs w:val="32"/>
        </w:rPr>
        <w:t>29.案例分析：利用“税收洼地”进行“区内注册区外经营”的税收风险</w:t>
      </w:r>
    </w:p>
    <w:p w14:paraId="25E49914">
      <w:pPr>
        <w:jc w:val="both"/>
        <w:rPr>
          <w:rFonts w:hint="eastAsia" w:ascii="仿宋_GB2312" w:hAnsi="仿宋_GB2312" w:eastAsia="仿宋_GB2312"/>
          <w:sz w:val="32"/>
          <w:szCs w:val="32"/>
        </w:rPr>
      </w:pPr>
      <w:r>
        <w:rPr>
          <w:rFonts w:hint="eastAsia" w:ascii="仿宋_GB2312" w:hAnsi="仿宋_GB2312" w:eastAsia="仿宋_GB2312"/>
          <w:sz w:val="32"/>
          <w:szCs w:val="32"/>
        </w:rPr>
        <w:t>（二）社保合规及税费联动风险防范</w:t>
      </w:r>
    </w:p>
    <w:p w14:paraId="4DD165B6">
      <w:pPr>
        <w:ind w:firstLine="640" w:firstLineChars="200"/>
        <w:jc w:val="both"/>
        <w:rPr>
          <w:rFonts w:hint="eastAsia" w:ascii="仿宋_GB2312" w:hAnsi="仿宋_GB2312" w:eastAsia="仿宋_GB2312"/>
          <w:sz w:val="32"/>
          <w:szCs w:val="32"/>
        </w:rPr>
      </w:pPr>
      <w:r>
        <w:rPr>
          <w:rFonts w:hint="eastAsia" w:ascii="仿宋_GB2312" w:hAnsi="仿宋_GB2312" w:eastAsia="仿宋_GB2312"/>
          <w:sz w:val="32"/>
          <w:szCs w:val="32"/>
        </w:rPr>
        <w:t>1.如何理解“加大税收、社保、转移支付等调节力度并提高精准性”？</w:t>
      </w:r>
    </w:p>
    <w:p w14:paraId="7537E1F6">
      <w:pPr>
        <w:ind w:firstLine="640" w:firstLineChars="200"/>
        <w:jc w:val="both"/>
        <w:rPr>
          <w:rFonts w:hint="eastAsia" w:ascii="仿宋_GB2312" w:hAnsi="仿宋_GB2312" w:eastAsia="仿宋_GB2312"/>
          <w:sz w:val="32"/>
          <w:szCs w:val="32"/>
        </w:rPr>
      </w:pPr>
      <w:r>
        <w:rPr>
          <w:rFonts w:hint="eastAsia" w:ascii="仿宋_GB2312" w:hAnsi="仿宋_GB2312" w:eastAsia="仿宋_GB2312"/>
          <w:sz w:val="32"/>
          <w:szCs w:val="32"/>
        </w:rPr>
        <w:t>2.社保的统模式改革和全责征收体系构建有何特点？</w:t>
      </w:r>
    </w:p>
    <w:p w14:paraId="7BE49B51">
      <w:pPr>
        <w:ind w:firstLine="640" w:firstLineChars="200"/>
        <w:jc w:val="both"/>
        <w:rPr>
          <w:rFonts w:hint="eastAsia" w:ascii="仿宋_GB2312" w:hAnsi="仿宋_GB2312" w:eastAsia="仿宋_GB2312"/>
          <w:sz w:val="32"/>
          <w:szCs w:val="32"/>
        </w:rPr>
      </w:pPr>
      <w:r>
        <w:rPr>
          <w:rFonts w:hint="eastAsia" w:ascii="仿宋_GB2312" w:hAnsi="仿宋_GB2312" w:eastAsia="仿宋_GB2312"/>
          <w:sz w:val="32"/>
          <w:szCs w:val="32"/>
        </w:rPr>
        <w:t>3.工资薪金个税、企税和社保三比对风险应注意哪些问题？</w:t>
      </w:r>
    </w:p>
    <w:p w14:paraId="0C27637F">
      <w:pPr>
        <w:ind w:firstLine="640" w:firstLineChars="200"/>
        <w:jc w:val="both"/>
        <w:rPr>
          <w:rFonts w:hint="eastAsia" w:ascii="仿宋_GB2312" w:hAnsi="仿宋_GB2312" w:eastAsia="仿宋_GB2312"/>
          <w:sz w:val="32"/>
          <w:szCs w:val="32"/>
        </w:rPr>
      </w:pPr>
      <w:r>
        <w:rPr>
          <w:rFonts w:hint="eastAsia" w:ascii="仿宋_GB2312" w:hAnsi="仿宋_GB2312" w:eastAsia="仿宋_GB2312"/>
          <w:sz w:val="32"/>
          <w:szCs w:val="32"/>
        </w:rPr>
        <w:t>4.社保人员覆盖不足和缴费基数风险如何进行有效风险防范？</w:t>
      </w:r>
    </w:p>
    <w:p w14:paraId="5E20B65B">
      <w:pPr>
        <w:ind w:firstLine="640" w:firstLineChars="200"/>
        <w:jc w:val="both"/>
        <w:rPr>
          <w:rFonts w:hint="eastAsia" w:ascii="仿宋_GB2312" w:hAnsi="仿宋_GB2312" w:eastAsia="仿宋_GB2312"/>
          <w:sz w:val="32"/>
          <w:szCs w:val="32"/>
        </w:rPr>
      </w:pPr>
      <w:r>
        <w:rPr>
          <w:rFonts w:hint="eastAsia" w:ascii="仿宋_GB2312" w:hAnsi="仿宋_GB2312" w:eastAsia="仿宋_GB2312"/>
          <w:sz w:val="32"/>
          <w:szCs w:val="32"/>
        </w:rPr>
        <w:t>5.异地用工方式下社保缴纳的风险有哪些？</w:t>
      </w:r>
    </w:p>
    <w:p w14:paraId="2800BC3E">
      <w:pPr>
        <w:ind w:firstLine="640" w:firstLineChars="200"/>
        <w:jc w:val="both"/>
        <w:rPr>
          <w:rFonts w:hint="eastAsia" w:ascii="仿宋_GB2312" w:hAnsi="仿宋_GB2312" w:eastAsia="仿宋_GB2312"/>
          <w:sz w:val="32"/>
          <w:szCs w:val="32"/>
        </w:rPr>
      </w:pPr>
      <w:r>
        <w:rPr>
          <w:rFonts w:hint="eastAsia" w:ascii="仿宋_GB2312" w:hAnsi="仿宋_GB2312" w:eastAsia="仿宋_GB2312"/>
          <w:sz w:val="32"/>
          <w:szCs w:val="32"/>
        </w:rPr>
        <w:t>6.劳务派遣和劳务外包社保缴纳的风险有哪些？</w:t>
      </w:r>
    </w:p>
    <w:p w14:paraId="3F4261AD">
      <w:pPr>
        <w:ind w:firstLine="640" w:firstLineChars="200"/>
        <w:jc w:val="both"/>
        <w:rPr>
          <w:rFonts w:hint="eastAsia" w:ascii="仿宋_GB2312" w:hAnsi="仿宋_GB2312" w:eastAsia="仿宋_GB2312"/>
          <w:sz w:val="32"/>
          <w:szCs w:val="32"/>
        </w:rPr>
      </w:pPr>
      <w:r>
        <w:rPr>
          <w:rFonts w:hint="eastAsia" w:ascii="仿宋_GB2312" w:hAnsi="仿宋_GB2312" w:eastAsia="仿宋_GB2312"/>
          <w:sz w:val="32"/>
          <w:szCs w:val="32"/>
        </w:rPr>
        <w:t>7.自愿放弃社保协议是否无效？最高法新规有何参考和借鉴意义？</w:t>
      </w:r>
    </w:p>
    <w:p w14:paraId="70AA0ACD">
      <w:pPr>
        <w:ind w:firstLine="640" w:firstLineChars="200"/>
        <w:jc w:val="both"/>
        <w:rPr>
          <w:rFonts w:hint="eastAsia" w:ascii="仿宋_GB2312" w:hAnsi="仿宋_GB2312" w:eastAsia="仿宋_GB2312"/>
          <w:sz w:val="32"/>
          <w:szCs w:val="32"/>
        </w:rPr>
      </w:pPr>
      <w:r>
        <w:rPr>
          <w:rFonts w:hint="eastAsia" w:ascii="仿宋_GB2312" w:hAnsi="仿宋_GB2312" w:eastAsia="仿宋_GB2312"/>
          <w:sz w:val="32"/>
          <w:szCs w:val="32"/>
        </w:rPr>
        <w:t>8.社保违法后需承担哪些事后风险？</w:t>
      </w:r>
    </w:p>
    <w:p w14:paraId="466D5C53">
      <w:pPr>
        <w:ind w:firstLine="640" w:firstLineChars="200"/>
        <w:jc w:val="both"/>
        <w:rPr>
          <w:rFonts w:hint="eastAsia" w:ascii="仿宋_GB2312" w:hAnsi="仿宋_GB2312" w:eastAsia="仿宋_GB2312"/>
          <w:sz w:val="32"/>
          <w:szCs w:val="32"/>
        </w:rPr>
      </w:pPr>
      <w:r>
        <w:rPr>
          <w:rFonts w:hint="eastAsia" w:ascii="仿宋_GB2312" w:hAnsi="仿宋_GB2312" w:eastAsia="仿宋_GB2312"/>
          <w:sz w:val="32"/>
          <w:szCs w:val="32"/>
        </w:rPr>
        <w:t>9.稽查工作中试点社保和税收一体化稽查有何特点？</w:t>
      </w:r>
    </w:p>
    <w:p w14:paraId="163CE95D">
      <w:pPr>
        <w:ind w:firstLine="640" w:firstLineChars="200"/>
        <w:jc w:val="both"/>
        <w:rPr>
          <w:rFonts w:ascii="仿宋_GB2312" w:hAnsi="仿宋_GB2312" w:eastAsia="仿宋_GB2312"/>
          <w:sz w:val="32"/>
          <w:szCs w:val="32"/>
        </w:rPr>
      </w:pPr>
      <w:r>
        <w:rPr>
          <w:rFonts w:hint="eastAsia" w:ascii="仿宋_GB2312" w:hAnsi="仿宋_GB2312" w:eastAsia="仿宋_GB2312"/>
          <w:sz w:val="32"/>
          <w:szCs w:val="32"/>
        </w:rPr>
        <w:t>10.通过人力资源外包服务代缴社保有何风险？</w:t>
      </w:r>
    </w:p>
    <w:p w14:paraId="31941330">
      <w:pPr>
        <w:jc w:val="both"/>
        <w:rPr>
          <w:rFonts w:hint="eastAsia" w:ascii="仿宋_GB2312" w:hAnsi="仿宋_GB2312" w:eastAsia="仿宋_GB2312"/>
          <w:sz w:val="32"/>
          <w:szCs w:val="32"/>
        </w:rPr>
      </w:pPr>
      <w:r>
        <w:rPr>
          <w:rFonts w:hint="eastAsia" w:ascii="仿宋_GB2312" w:hAnsi="仿宋_GB2312" w:eastAsia="仿宋_GB2312"/>
          <w:sz w:val="32"/>
          <w:szCs w:val="32"/>
        </w:rPr>
        <w:t>（三）税种联动管理方式下申报表信息比对</w:t>
      </w:r>
    </w:p>
    <w:p w14:paraId="0B93FA1F">
      <w:pPr>
        <w:ind w:firstLine="640" w:firstLineChars="200"/>
        <w:jc w:val="both"/>
        <w:rPr>
          <w:rFonts w:hint="eastAsia" w:ascii="仿宋_GB2312" w:hAnsi="仿宋_GB2312" w:eastAsia="仿宋_GB2312"/>
          <w:sz w:val="32"/>
          <w:szCs w:val="32"/>
        </w:rPr>
      </w:pPr>
      <w:r>
        <w:rPr>
          <w:rFonts w:hint="eastAsia" w:ascii="仿宋_GB2312" w:hAnsi="仿宋_GB2312" w:eastAsia="仿宋_GB2312"/>
          <w:sz w:val="32"/>
          <w:szCs w:val="32"/>
        </w:rPr>
        <w:t>1.一般纳税人增值税申报表中主附表逻辑关联性有哪些？</w:t>
      </w:r>
    </w:p>
    <w:p w14:paraId="46EF2053">
      <w:pPr>
        <w:ind w:firstLine="640" w:firstLineChars="200"/>
        <w:jc w:val="both"/>
        <w:rPr>
          <w:rFonts w:hint="eastAsia" w:ascii="仿宋_GB2312" w:hAnsi="仿宋_GB2312" w:eastAsia="仿宋_GB2312"/>
          <w:sz w:val="32"/>
          <w:szCs w:val="32"/>
        </w:rPr>
      </w:pPr>
      <w:r>
        <w:rPr>
          <w:rFonts w:hint="eastAsia" w:ascii="仿宋_GB2312" w:hAnsi="仿宋_GB2312" w:eastAsia="仿宋_GB2312"/>
          <w:sz w:val="32"/>
          <w:szCs w:val="32"/>
        </w:rPr>
        <w:t>2.小规模纳税人申报表中主附表逻辑关联性有哪些？</w:t>
      </w:r>
    </w:p>
    <w:p w14:paraId="5EB7D84F">
      <w:pPr>
        <w:ind w:firstLine="640" w:firstLineChars="200"/>
        <w:jc w:val="both"/>
        <w:rPr>
          <w:rFonts w:hint="eastAsia" w:ascii="仿宋_GB2312" w:hAnsi="仿宋_GB2312" w:eastAsia="仿宋_GB2312"/>
          <w:sz w:val="32"/>
          <w:szCs w:val="32"/>
        </w:rPr>
      </w:pPr>
      <w:r>
        <w:rPr>
          <w:rFonts w:hint="eastAsia" w:ascii="仿宋_GB2312" w:hAnsi="仿宋_GB2312" w:eastAsia="仿宋_GB2312"/>
          <w:sz w:val="32"/>
          <w:szCs w:val="32"/>
        </w:rPr>
        <w:t>3.增值税申报表和企业所得税申报表收入比对应注意哪些问题？</w:t>
      </w:r>
    </w:p>
    <w:p w14:paraId="4DF22577">
      <w:pPr>
        <w:ind w:firstLine="640" w:firstLineChars="200"/>
        <w:jc w:val="both"/>
        <w:rPr>
          <w:rFonts w:hint="eastAsia" w:ascii="仿宋_GB2312" w:hAnsi="仿宋_GB2312" w:eastAsia="仿宋_GB2312"/>
          <w:sz w:val="32"/>
          <w:szCs w:val="32"/>
        </w:rPr>
      </w:pPr>
      <w:r>
        <w:rPr>
          <w:rFonts w:hint="eastAsia" w:ascii="仿宋_GB2312" w:hAnsi="仿宋_GB2312" w:eastAsia="仿宋_GB2312"/>
          <w:sz w:val="32"/>
          <w:szCs w:val="32"/>
        </w:rPr>
        <w:t>4.企业所得税预缴申报表在修订后新增哪些比对信息</w:t>
      </w:r>
    </w:p>
    <w:p w14:paraId="5D942D1B">
      <w:pPr>
        <w:ind w:firstLine="640" w:firstLineChars="200"/>
        <w:jc w:val="both"/>
        <w:rPr>
          <w:rFonts w:hint="eastAsia" w:ascii="仿宋_GB2312" w:hAnsi="仿宋_GB2312" w:eastAsia="仿宋_GB2312"/>
          <w:sz w:val="32"/>
          <w:szCs w:val="32"/>
        </w:rPr>
      </w:pPr>
      <w:r>
        <w:rPr>
          <w:rFonts w:hint="eastAsia" w:ascii="仿宋_GB2312" w:hAnsi="仿宋_GB2312" w:eastAsia="仿宋_GB2312"/>
          <w:sz w:val="32"/>
          <w:szCs w:val="32"/>
        </w:rPr>
        <w:t>5.企业所得税预缴申报表和汇算清缴表比对应注意哪些问题？</w:t>
      </w:r>
    </w:p>
    <w:p w14:paraId="18934DB6">
      <w:pPr>
        <w:ind w:firstLine="640" w:firstLineChars="200"/>
        <w:jc w:val="both"/>
        <w:rPr>
          <w:rFonts w:hint="eastAsia" w:ascii="仿宋_GB2312" w:hAnsi="仿宋_GB2312" w:eastAsia="仿宋_GB2312"/>
          <w:sz w:val="32"/>
          <w:szCs w:val="32"/>
        </w:rPr>
      </w:pPr>
      <w:r>
        <w:rPr>
          <w:rFonts w:hint="eastAsia" w:ascii="仿宋_GB2312" w:hAnsi="仿宋_GB2312" w:eastAsia="仿宋_GB2312"/>
          <w:sz w:val="32"/>
          <w:szCs w:val="32"/>
        </w:rPr>
        <w:t>6.企业所得税汇算清缴表中为财产行为税比对提供哪些信息？</w:t>
      </w:r>
    </w:p>
    <w:p w14:paraId="6618FDFB">
      <w:pPr>
        <w:ind w:firstLine="640" w:firstLineChars="200"/>
        <w:jc w:val="both"/>
        <w:rPr>
          <w:rFonts w:hint="eastAsia" w:ascii="仿宋_GB2312" w:hAnsi="仿宋_GB2312" w:eastAsia="仿宋_GB2312"/>
          <w:sz w:val="32"/>
          <w:szCs w:val="32"/>
        </w:rPr>
      </w:pPr>
      <w:r>
        <w:rPr>
          <w:rFonts w:hint="eastAsia" w:ascii="仿宋_GB2312" w:hAnsi="仿宋_GB2312" w:eastAsia="仿宋_GB2312"/>
          <w:sz w:val="32"/>
          <w:szCs w:val="32"/>
        </w:rPr>
        <w:t>7.企业所得税汇算清缴表中为进项税额转出管理提供哪些信息？</w:t>
      </w:r>
    </w:p>
    <w:p w14:paraId="67D46F3B">
      <w:pPr>
        <w:ind w:firstLine="640" w:firstLineChars="200"/>
        <w:jc w:val="both"/>
        <w:rPr>
          <w:rFonts w:hint="eastAsia" w:ascii="仿宋_GB2312" w:hAnsi="仿宋_GB2312" w:eastAsia="仿宋_GB2312"/>
          <w:sz w:val="32"/>
          <w:szCs w:val="32"/>
        </w:rPr>
      </w:pPr>
      <w:r>
        <w:rPr>
          <w:rFonts w:hint="eastAsia" w:ascii="仿宋_GB2312" w:hAnsi="仿宋_GB2312" w:eastAsia="仿宋_GB2312"/>
          <w:sz w:val="32"/>
          <w:szCs w:val="32"/>
        </w:rPr>
        <w:t>8.“跟票管”系统为企业所得税扣除管理提供哪些信息？</w:t>
      </w:r>
    </w:p>
    <w:p w14:paraId="5BBC1D99">
      <w:pPr>
        <w:ind w:firstLine="640" w:firstLineChars="200"/>
        <w:jc w:val="both"/>
        <w:rPr>
          <w:rFonts w:hint="eastAsia" w:ascii="仿宋_GB2312" w:hAnsi="仿宋_GB2312" w:eastAsia="仿宋_GB2312"/>
          <w:sz w:val="32"/>
          <w:szCs w:val="32"/>
        </w:rPr>
      </w:pPr>
      <w:r>
        <w:rPr>
          <w:rFonts w:hint="eastAsia" w:ascii="仿宋_GB2312" w:hAnsi="仿宋_GB2312" w:eastAsia="仿宋_GB2312"/>
          <w:sz w:val="32"/>
          <w:szCs w:val="32"/>
        </w:rPr>
        <w:t>9.数电票改革后新增的特殊版本发票比对应注意哪些问题？</w:t>
      </w:r>
    </w:p>
    <w:p w14:paraId="5AC85763">
      <w:pPr>
        <w:ind w:firstLine="640" w:firstLineChars="200"/>
        <w:jc w:val="both"/>
        <w:rPr>
          <w:rFonts w:hint="eastAsia" w:ascii="仿宋_GB2312" w:hAnsi="仿宋_GB2312" w:eastAsia="仿宋_GB2312"/>
          <w:sz w:val="32"/>
          <w:szCs w:val="32"/>
        </w:rPr>
      </w:pPr>
      <w:r>
        <w:rPr>
          <w:rFonts w:hint="eastAsia" w:ascii="仿宋_GB2312" w:hAnsi="仿宋_GB2312" w:eastAsia="仿宋_GB2312"/>
          <w:sz w:val="32"/>
          <w:szCs w:val="32"/>
        </w:rPr>
        <w:t>10.契税和土地增值税的比对应注意哪些风险？</w:t>
      </w:r>
    </w:p>
    <w:p w14:paraId="52CD64E1">
      <w:pPr>
        <w:ind w:firstLine="640" w:firstLineChars="200"/>
        <w:jc w:val="both"/>
        <w:rPr>
          <w:rFonts w:hint="eastAsia" w:ascii="仿宋_GB2312" w:hAnsi="仿宋_GB2312" w:eastAsia="仿宋_GB2312"/>
          <w:sz w:val="32"/>
          <w:szCs w:val="32"/>
        </w:rPr>
      </w:pPr>
      <w:r>
        <w:rPr>
          <w:rFonts w:hint="eastAsia" w:ascii="仿宋_GB2312" w:hAnsi="仿宋_GB2312" w:eastAsia="仿宋_GB2312"/>
          <w:sz w:val="32"/>
          <w:szCs w:val="32"/>
        </w:rPr>
        <w:t>11.增值税开票品名在财产行为税比对中应注意哪些风险？</w:t>
      </w:r>
    </w:p>
    <w:p w14:paraId="2CA3E581">
      <w:pPr>
        <w:ind w:firstLine="640" w:firstLineChars="200"/>
        <w:jc w:val="both"/>
        <w:rPr>
          <w:rFonts w:hint="eastAsia" w:ascii="仿宋_GB2312" w:hAnsi="仿宋_GB2312" w:eastAsia="仿宋_GB2312"/>
          <w:sz w:val="32"/>
          <w:szCs w:val="32"/>
        </w:rPr>
      </w:pPr>
      <w:r>
        <w:rPr>
          <w:rFonts w:hint="eastAsia" w:ascii="仿宋_GB2312" w:hAnsi="仿宋_GB2312" w:eastAsia="仿宋_GB2312"/>
          <w:sz w:val="32"/>
          <w:szCs w:val="32"/>
        </w:rPr>
        <w:t>12.增值税开票品名在企业所得税比对中应注意哪些风险？</w:t>
      </w:r>
    </w:p>
    <w:p w14:paraId="26A85092">
      <w:pPr>
        <w:ind w:firstLine="640" w:firstLineChars="200"/>
        <w:jc w:val="both"/>
        <w:rPr>
          <w:rFonts w:hint="eastAsia" w:ascii="仿宋_GB2312" w:hAnsi="仿宋_GB2312" w:eastAsia="仿宋_GB2312"/>
          <w:sz w:val="32"/>
          <w:szCs w:val="32"/>
        </w:rPr>
      </w:pPr>
      <w:r>
        <w:rPr>
          <w:rFonts w:hint="eastAsia" w:ascii="仿宋_GB2312" w:hAnsi="仿宋_GB2312" w:eastAsia="仿宋_GB2312"/>
          <w:sz w:val="32"/>
          <w:szCs w:val="32"/>
        </w:rPr>
        <w:t>13.专普票一体式防范有哪些监管方式的变化？</w:t>
      </w:r>
    </w:p>
    <w:p w14:paraId="2227A830">
      <w:pPr>
        <w:ind w:firstLine="640" w:firstLineChars="200"/>
        <w:jc w:val="both"/>
        <w:rPr>
          <w:rFonts w:hint="eastAsia" w:ascii="仿宋_GB2312" w:hAnsi="仿宋_GB2312" w:eastAsia="仿宋_GB2312"/>
          <w:sz w:val="32"/>
          <w:szCs w:val="32"/>
        </w:rPr>
      </w:pPr>
      <w:r>
        <w:rPr>
          <w:rFonts w:hint="eastAsia" w:ascii="仿宋_GB2312" w:hAnsi="仿宋_GB2312" w:eastAsia="仿宋_GB2312"/>
          <w:sz w:val="32"/>
          <w:szCs w:val="32"/>
        </w:rPr>
        <w:t>14.自开票进行税收筹划引发哪些税收风险？</w:t>
      </w:r>
    </w:p>
    <w:p w14:paraId="666C0749">
      <w:pPr>
        <w:ind w:firstLine="640" w:firstLineChars="200"/>
        <w:jc w:val="both"/>
        <w:rPr>
          <w:rFonts w:hint="eastAsia" w:ascii="仿宋_GB2312" w:hAnsi="仿宋_GB2312" w:eastAsia="仿宋_GB2312"/>
          <w:sz w:val="32"/>
          <w:szCs w:val="32"/>
        </w:rPr>
      </w:pPr>
      <w:r>
        <w:rPr>
          <w:rFonts w:hint="eastAsia" w:ascii="仿宋_GB2312" w:hAnsi="仿宋_GB2312" w:eastAsia="仿宋_GB2312"/>
          <w:sz w:val="32"/>
          <w:szCs w:val="32"/>
        </w:rPr>
        <w:t>15.特殊开票品名比对下如何防范增值税进项转出风险？</w:t>
      </w:r>
    </w:p>
    <w:p w14:paraId="24B65747">
      <w:pPr>
        <w:widowControl/>
        <w:spacing w:line="360" w:lineRule="auto"/>
        <w:ind w:left="643" w:hanging="643" w:hangingChars="200"/>
        <w:jc w:val="left"/>
        <w:rPr>
          <w:rFonts w:hint="eastAsia" w:ascii="仿宋_GB2312" w:hAnsi="仿宋" w:eastAsia="仿宋_GB2312"/>
          <w:b/>
          <w:sz w:val="32"/>
          <w:szCs w:val="32"/>
        </w:rPr>
      </w:pPr>
      <w:r>
        <w:rPr>
          <w:rFonts w:hint="eastAsia" w:ascii="仿宋_GB2312" w:hAnsi="仿宋" w:eastAsia="仿宋_GB2312"/>
          <w:b/>
          <w:sz w:val="32"/>
          <w:szCs w:val="32"/>
        </w:rPr>
        <w:t>五、拟邀师资</w:t>
      </w:r>
    </w:p>
    <w:p w14:paraId="023F08FA">
      <w:pPr>
        <w:widowControl/>
        <w:spacing w:line="360" w:lineRule="auto"/>
        <w:jc w:val="both"/>
        <w:rPr>
          <w:rFonts w:hint="eastAsia" w:ascii="仿宋_GB2312" w:hAnsi="仿宋" w:eastAsia="仿宋_GB2312" w:cs="Times New Roman"/>
          <w:color w:val="000000"/>
          <w:sz w:val="32"/>
          <w:szCs w:val="32"/>
        </w:rPr>
      </w:pPr>
      <w:r>
        <w:rPr>
          <w:rFonts w:hint="eastAsia" w:ascii="仿宋_GB2312" w:hAnsi="仿宋" w:eastAsia="仿宋_GB2312" w:cs="Times New Roman"/>
          <w:b/>
          <w:bCs/>
          <w:color w:val="000000"/>
          <w:sz w:val="32"/>
          <w:szCs w:val="32"/>
        </w:rPr>
        <w:t>辛老师：</w:t>
      </w:r>
      <w:r>
        <w:rPr>
          <w:rFonts w:hint="eastAsia" w:ascii="仿宋_GB2312" w:hAnsi="仿宋" w:eastAsia="仿宋_GB2312" w:cs="Times New Roman"/>
          <w:color w:val="000000"/>
          <w:sz w:val="32"/>
          <w:szCs w:val="32"/>
        </w:rPr>
        <w:t>中国税务学会学术委员会委员、中国注册税务师协会教育培训委员会副主任委员、中国社会科学院大学硕士研究生导师、国家税务总局税务干部学院原副院长。撰写《论企业特殊性重组资产计税基础的确认原则》《递延纳税确认原则及其税收效应分析》等学术论文数十篇；出版《企业所得税实务》《企业所得税纳税申报表操作实务与风险管理》《企业所得税疑难问题解析与相关法律问题衔接》及《政府PPP项目会计与税收实务》等书籍十余部。</w:t>
      </w:r>
    </w:p>
    <w:p w14:paraId="60DFE363">
      <w:pPr>
        <w:pStyle w:val="12"/>
        <w:rPr>
          <w:rFonts w:hint="eastAsia" w:ascii="仿宋_GB2312" w:hAnsi="仿宋" w:eastAsia="仿宋_GB2312"/>
          <w:color w:val="000000"/>
          <w:sz w:val="32"/>
          <w:szCs w:val="32"/>
        </w:rPr>
      </w:pPr>
      <w:r>
        <w:rPr>
          <w:rFonts w:hint="eastAsia" w:ascii="仿宋_GB2312" w:hAnsi="仿宋" w:eastAsia="仿宋_GB2312"/>
          <w:b/>
          <w:bCs/>
          <w:color w:val="000000"/>
          <w:sz w:val="32"/>
          <w:szCs w:val="32"/>
        </w:rPr>
        <w:t>葛老师</w:t>
      </w:r>
      <w:r>
        <w:rPr>
          <w:rFonts w:hint="eastAsia" w:ascii="仿宋_GB2312" w:hAnsi="仿宋" w:eastAsia="仿宋_GB2312"/>
          <w:color w:val="000000"/>
          <w:sz w:val="32"/>
          <w:szCs w:val="32"/>
        </w:rPr>
        <w:t>：</w:t>
      </w:r>
      <w:r>
        <w:rPr>
          <w:rFonts w:ascii="仿宋_GB2312" w:hAnsi="仿宋" w:eastAsia="仿宋_GB2312"/>
          <w:color w:val="000000"/>
          <w:sz w:val="32"/>
          <w:szCs w:val="32"/>
        </w:rPr>
        <w:t>经济学博士，上海国家会计学院教研部副教授、硕士生导师，应用经济系主任，“一带一路”会计研究中心秘书长；2019年12月-2021年1月于财政部条法司挂职。亚利桑那州立大学凯瑞商学院访问学者在《税务研究》等期刊发表论文多篇，出版专著一部，荣获“第十一届上海市决策咨询研究成果奖”等多项奖励。</w:t>
      </w:r>
    </w:p>
    <w:p w14:paraId="4AED17F8">
      <w:pPr>
        <w:widowControl/>
        <w:spacing w:line="360" w:lineRule="auto"/>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以及其他资深实务专家。</w:t>
      </w:r>
    </w:p>
    <w:p w14:paraId="04BD5E0A">
      <w:pPr>
        <w:spacing w:line="360" w:lineRule="auto"/>
        <w:ind w:left="321" w:hanging="321" w:hangingChars="100"/>
        <w:rPr>
          <w:rFonts w:hint="eastAsia" w:ascii="仿宋_GB2312" w:hAnsi="仿宋" w:eastAsia="仿宋_GB2312"/>
          <w:b/>
          <w:sz w:val="32"/>
          <w:szCs w:val="32"/>
        </w:rPr>
      </w:pPr>
      <w:r>
        <w:rPr>
          <w:rFonts w:hint="eastAsia" w:ascii="仿宋_GB2312" w:hAnsi="仿宋" w:eastAsia="仿宋_GB2312"/>
          <w:b/>
          <w:sz w:val="32"/>
          <w:szCs w:val="32"/>
        </w:rPr>
        <w:t>六、收费标准</w:t>
      </w:r>
    </w:p>
    <w:p w14:paraId="6FCD4A0C">
      <w:pPr>
        <w:spacing w:line="360" w:lineRule="auto"/>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1.培训费：</w:t>
      </w:r>
      <w:r>
        <w:rPr>
          <w:rFonts w:hint="eastAsia" w:ascii="仿宋_GB2312" w:hAnsi="仿宋" w:eastAsia="仿宋_GB2312" w:cs="Times New Roman"/>
          <w:color w:val="000000"/>
          <w:sz w:val="32"/>
          <w:szCs w:val="32"/>
          <w:lang w:val="en-US" w:eastAsia="zh-CN"/>
        </w:rPr>
        <w:t>5680</w:t>
      </w:r>
      <w:r>
        <w:rPr>
          <w:rFonts w:hint="eastAsia" w:ascii="仿宋_GB2312" w:hAnsi="仿宋" w:eastAsia="仿宋_GB2312" w:cs="Times New Roman"/>
          <w:color w:val="000000"/>
          <w:sz w:val="32"/>
          <w:szCs w:val="32"/>
        </w:rPr>
        <w:t>元/人。</w:t>
      </w:r>
    </w:p>
    <w:p w14:paraId="319E92D7">
      <w:pPr>
        <w:spacing w:line="360" w:lineRule="auto"/>
        <w:rPr>
          <w:rFonts w:hint="eastAsia" w:ascii="仿宋_GB2312" w:hAnsi="宋体" w:eastAsia="仿宋_GB2312"/>
          <w:sz w:val="32"/>
          <w:szCs w:val="32"/>
        </w:rPr>
      </w:pPr>
      <w:r>
        <w:rPr>
          <w:rFonts w:hint="eastAsia" w:ascii="仿宋_GB2312" w:hAnsi="宋体" w:eastAsia="仿宋_GB2312"/>
          <w:sz w:val="32"/>
          <w:szCs w:val="32"/>
        </w:rPr>
        <w:t>2.食宿统一安排，费用自理，具体费用标准以开课通知为准。</w:t>
      </w:r>
    </w:p>
    <w:p w14:paraId="2B740BE9">
      <w:pPr>
        <w:spacing w:line="360" w:lineRule="auto"/>
        <w:rPr>
          <w:rFonts w:hint="eastAsia" w:ascii="仿宋_GB2312" w:hAnsi="宋体" w:eastAsia="仿宋_GB2312"/>
          <w:sz w:val="32"/>
          <w:szCs w:val="32"/>
        </w:rPr>
      </w:pPr>
      <w:r>
        <w:rPr>
          <w:rFonts w:hint="eastAsia" w:ascii="仿宋_GB2312" w:hAnsi="宋体" w:eastAsia="仿宋_GB2312"/>
          <w:sz w:val="32"/>
          <w:szCs w:val="32"/>
        </w:rPr>
        <w:t>3.费用支付方式：培训费由上海国家会计学院收取，支付宝/微信扫码、汇款。食宿费由酒店收取，现场支付。</w:t>
      </w:r>
    </w:p>
    <w:p w14:paraId="1DF9C044">
      <w:pPr>
        <w:spacing w:line="360" w:lineRule="auto"/>
        <w:rPr>
          <w:rFonts w:hint="eastAsia" w:ascii="仿宋_GB2312" w:hAnsi="宋体" w:eastAsia="仿宋_GB2312"/>
          <w:sz w:val="32"/>
          <w:szCs w:val="32"/>
        </w:rPr>
      </w:pPr>
      <w:r>
        <w:rPr>
          <w:rFonts w:hint="eastAsia" w:ascii="仿宋_GB2312" w:hAnsi="宋体" w:eastAsia="仿宋_GB2312"/>
          <w:sz w:val="32"/>
          <w:szCs w:val="32"/>
        </w:rPr>
        <w:t>4.关于发票：培训费发票由学院提供；食宿发票由酒店提供。</w:t>
      </w:r>
    </w:p>
    <w:p w14:paraId="1151A348">
      <w:pPr>
        <w:spacing w:line="360" w:lineRule="auto"/>
        <w:rPr>
          <w:rFonts w:hint="eastAsia" w:ascii="仿宋_GB2312" w:hAnsi="仿宋" w:eastAsia="仿宋_GB2312"/>
          <w:b/>
          <w:color w:val="000000"/>
          <w:sz w:val="32"/>
          <w:szCs w:val="32"/>
        </w:rPr>
      </w:pPr>
      <w:r>
        <w:rPr>
          <w:rFonts w:hint="eastAsia" w:ascii="仿宋_GB2312" w:hAnsi="仿宋" w:eastAsia="仿宋_GB2312"/>
          <w:b/>
          <w:color w:val="000000"/>
          <w:sz w:val="32"/>
          <w:szCs w:val="32"/>
        </w:rPr>
        <w:t>七、结业证书</w:t>
      </w:r>
    </w:p>
    <w:p w14:paraId="03F1CBF0">
      <w:pPr>
        <w:spacing w:line="360" w:lineRule="auto"/>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sz w:val="32"/>
          <w:szCs w:val="32"/>
        </w:rPr>
        <w:t>培训班结束后由学院颁发结业证书，并</w:t>
      </w:r>
      <w:r>
        <w:rPr>
          <w:rFonts w:hint="eastAsia" w:ascii="仿宋_GB2312" w:hAnsi="宋体" w:eastAsia="仿宋_GB2312"/>
          <w:color w:val="000000" w:themeColor="text1"/>
          <w:sz w:val="32"/>
          <w:szCs w:val="32"/>
          <w14:textFill>
            <w14:solidFill>
              <w14:schemeClr w14:val="tx1"/>
            </w14:solidFill>
          </w14:textFill>
        </w:rPr>
        <w:t>注明学时。但是否可以作为继续教育学时，烦请学员咨询当地主管部门。</w:t>
      </w:r>
    </w:p>
    <w:p w14:paraId="6E29744D">
      <w:pPr>
        <w:widowControl/>
        <w:spacing w:line="360" w:lineRule="auto"/>
        <w:ind w:left="643" w:hanging="643" w:hangingChars="200"/>
        <w:jc w:val="left"/>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八、报名咨询</w:t>
      </w:r>
    </w:p>
    <w:p w14:paraId="475F9E11">
      <w:pPr>
        <w:widowControl/>
        <w:spacing w:line="360" w:lineRule="auto"/>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请参加人员按要求填写《报名回执表》（附后），报承办单位；我们将在开课前一周向报名学员发送《报到通知》。</w:t>
      </w:r>
    </w:p>
    <w:p w14:paraId="50C3E36C">
      <w:pPr>
        <w:jc w:val="both"/>
        <w:rPr>
          <w:rFonts w:hint="eastAsia" w:ascii="仿宋_GB2312" w:hAnsi="仿宋_GB2312" w:eastAsia="仿宋_GB2312"/>
          <w:sz w:val="32"/>
          <w:szCs w:val="32"/>
        </w:rPr>
      </w:pPr>
      <w:r>
        <w:rPr>
          <w:rFonts w:hint="eastAsia" w:ascii="仿宋_GB2312" w:hAnsi="仿宋_GB2312" w:eastAsia="仿宋_GB2312"/>
          <w:sz w:val="32"/>
          <w:szCs w:val="32"/>
        </w:rPr>
        <w:t>联系人：黄老师18610843353（同微信）</w:t>
      </w:r>
    </w:p>
    <w:p w14:paraId="532ED9BB">
      <w:pPr>
        <w:jc w:val="both"/>
        <w:rPr>
          <w:rFonts w:hint="eastAsia" w:ascii="仿宋_GB2312" w:hAnsi="仿宋" w:eastAsia="仿宋_GB2312"/>
          <w:sz w:val="32"/>
          <w:szCs w:val="32"/>
          <w:lang w:eastAsia="zh-Hans"/>
        </w:rPr>
      </w:pPr>
      <w:r>
        <w:rPr>
          <w:rFonts w:hint="eastAsia" w:ascii="仿宋_GB2312" w:hAnsi="仿宋_GB2312" w:eastAsia="仿宋_GB2312"/>
          <w:sz w:val="32"/>
          <w:szCs w:val="32"/>
        </w:rPr>
        <w:t>邮箱：284828890@qq.com</w:t>
      </w:r>
    </w:p>
    <w:p w14:paraId="65FAA474">
      <w:pPr>
        <w:widowControl/>
        <w:spacing w:line="360" w:lineRule="auto"/>
        <w:ind w:left="643" w:hanging="643" w:hangingChars="200"/>
        <w:jc w:val="left"/>
        <w:rPr>
          <w:rFonts w:hint="eastAsia" w:ascii="仿宋_GB2312" w:hAnsi="仿宋" w:eastAsia="仿宋_GB2312"/>
          <w:b/>
          <w:bCs/>
          <w:color w:val="000000"/>
          <w:sz w:val="32"/>
          <w:szCs w:val="32"/>
          <w:lang w:val="en-US" w:eastAsia="zh-CN"/>
        </w:rPr>
      </w:pPr>
      <w:r>
        <w:rPr>
          <w:rFonts w:hint="eastAsia" w:ascii="仿宋_GB2312" w:hAnsi="仿宋" w:eastAsia="仿宋_GB2312"/>
          <w:b/>
          <w:bCs/>
          <w:color w:val="000000"/>
          <w:sz w:val="32"/>
          <w:szCs w:val="32"/>
          <w:lang w:val="en-US" w:eastAsia="zh-CN"/>
        </w:rPr>
        <w:t>九、课程咨询</w:t>
      </w:r>
    </w:p>
    <w:p w14:paraId="368D0FC8">
      <w:pPr>
        <w:spacing w:line="360" w:lineRule="auto"/>
        <w:rPr>
          <w:rFonts w:hint="eastAsia" w:ascii="仿宋_GB2312" w:hAnsi="仿宋" w:eastAsia="仿宋_GB2312"/>
          <w:sz w:val="32"/>
          <w:szCs w:val="32"/>
        </w:rPr>
      </w:pPr>
      <w:r>
        <w:rPr>
          <w:rFonts w:hint="eastAsia" w:ascii="仿宋_GB2312" w:hAnsi="仿宋" w:eastAsia="仿宋_GB2312"/>
          <w:sz w:val="32"/>
          <w:szCs w:val="32"/>
          <w:lang w:eastAsia="zh-Hans"/>
        </w:rPr>
        <w:t>联系人</w:t>
      </w:r>
      <w:r>
        <w:rPr>
          <w:rFonts w:ascii="仿宋_GB2312" w:hAnsi="仿宋" w:eastAsia="仿宋_GB2312"/>
          <w:sz w:val="32"/>
          <w:szCs w:val="32"/>
          <w:lang w:eastAsia="zh-Hans"/>
        </w:rPr>
        <w:t>：</w:t>
      </w:r>
      <w:r>
        <w:rPr>
          <w:rFonts w:hint="eastAsia" w:ascii="仿宋_GB2312" w:hAnsi="仿宋" w:eastAsia="仿宋_GB2312"/>
          <w:sz w:val="32"/>
          <w:szCs w:val="32"/>
        </w:rPr>
        <w:t>马</w:t>
      </w:r>
      <w:r>
        <w:rPr>
          <w:rFonts w:hint="eastAsia" w:ascii="仿宋_GB2312" w:hAnsi="仿宋" w:eastAsia="仿宋_GB2312"/>
          <w:sz w:val="32"/>
          <w:szCs w:val="32"/>
          <w:lang w:eastAsia="zh-Hans"/>
        </w:rPr>
        <w:t>老师021-39768</w:t>
      </w:r>
      <w:r>
        <w:rPr>
          <w:rFonts w:hint="eastAsia" w:ascii="仿宋_GB2312" w:hAnsi="仿宋" w:eastAsia="仿宋_GB2312"/>
          <w:sz w:val="32"/>
          <w:szCs w:val="32"/>
        </w:rPr>
        <w:t>388</w:t>
      </w:r>
    </w:p>
    <w:p w14:paraId="5CA3396E">
      <w:pPr>
        <w:spacing w:line="360" w:lineRule="auto"/>
        <w:rPr>
          <w:rFonts w:hint="eastAsia" w:ascii="仿宋_GB2312" w:hAnsi="仿宋" w:eastAsia="仿宋_GB2312"/>
          <w:sz w:val="32"/>
          <w:szCs w:val="32"/>
          <w:lang w:eastAsia="zh-Hans"/>
        </w:rPr>
      </w:pPr>
      <w:r>
        <w:rPr>
          <w:rFonts w:hint="eastAsia" w:ascii="仿宋_GB2312" w:hAnsi="仿宋" w:eastAsia="仿宋_GB2312"/>
          <w:sz w:val="32"/>
          <w:szCs w:val="32"/>
          <w:lang w:eastAsia="zh-Hans"/>
        </w:rPr>
        <w:t>邮箱：</w:t>
      </w:r>
      <w:r>
        <w:fldChar w:fldCharType="begin"/>
      </w:r>
      <w:r>
        <w:instrText xml:space="preserve"> HYPERLINK "mailto:maxiaochu@snai.edu" </w:instrText>
      </w:r>
      <w:r>
        <w:fldChar w:fldCharType="separate"/>
      </w:r>
      <w:r>
        <w:rPr>
          <w:rStyle w:val="8"/>
          <w:rFonts w:hint="eastAsia" w:ascii="仿宋_GB2312" w:hAnsi="仿宋" w:eastAsia="仿宋_GB2312"/>
          <w:sz w:val="32"/>
          <w:szCs w:val="32"/>
        </w:rPr>
        <w:t>maxiaochu</w:t>
      </w:r>
      <w:r>
        <w:rPr>
          <w:rStyle w:val="8"/>
          <w:rFonts w:hint="eastAsia" w:ascii="仿宋_GB2312" w:hAnsi="仿宋" w:eastAsia="仿宋_GB2312"/>
          <w:sz w:val="32"/>
          <w:szCs w:val="32"/>
          <w:lang w:eastAsia="zh-Hans"/>
        </w:rPr>
        <w:t>@snai.edu</w:t>
      </w:r>
      <w:r>
        <w:rPr>
          <w:rStyle w:val="8"/>
          <w:rFonts w:hint="eastAsia" w:ascii="仿宋_GB2312" w:hAnsi="仿宋" w:eastAsia="仿宋_GB2312"/>
          <w:sz w:val="32"/>
          <w:szCs w:val="32"/>
          <w:lang w:eastAsia="zh-Hans"/>
        </w:rPr>
        <w:fldChar w:fldCharType="end"/>
      </w:r>
    </w:p>
    <w:p w14:paraId="21B324BE">
      <w:pPr>
        <w:widowControl/>
        <w:tabs>
          <w:tab w:val="center" w:pos="4766"/>
          <w:tab w:val="left" w:pos="6716"/>
        </w:tabs>
        <w:spacing w:line="360" w:lineRule="auto"/>
        <w:rPr>
          <w:rFonts w:hint="eastAsia" w:ascii="仿宋_GB2312" w:hAnsi="仿宋" w:eastAsia="仿宋_GB2312"/>
          <w:b/>
          <w:bCs/>
          <w:sz w:val="32"/>
          <w:szCs w:val="32"/>
        </w:rPr>
      </w:pPr>
      <w:r>
        <w:rPr>
          <w:rFonts w:hint="eastAsia" w:ascii="仿宋_GB2312" w:hAnsi="仿宋" w:eastAsia="仿宋_GB2312"/>
          <w:sz w:val="32"/>
          <w:szCs w:val="32"/>
          <w:lang w:val="en-US" w:eastAsia="zh-CN"/>
        </w:rPr>
        <w:t>十</w:t>
      </w:r>
      <w:r>
        <w:rPr>
          <w:rFonts w:hint="eastAsia" w:ascii="仿宋_GB2312" w:hAnsi="仿宋" w:eastAsia="仿宋_GB2312"/>
          <w:sz w:val="32"/>
          <w:szCs w:val="32"/>
        </w:rPr>
        <w:t>、</w:t>
      </w:r>
      <w:r>
        <w:rPr>
          <w:rFonts w:hint="eastAsia" w:ascii="仿宋_GB2312" w:hAnsi="仿宋" w:eastAsia="仿宋_GB2312"/>
          <w:b/>
          <w:bCs/>
          <w:sz w:val="32"/>
          <w:szCs w:val="32"/>
        </w:rPr>
        <w:t>全系列课程招生简章</w:t>
      </w:r>
    </w:p>
    <w:p w14:paraId="30941326">
      <w:pPr>
        <w:widowControl/>
        <w:tabs>
          <w:tab w:val="center" w:pos="4766"/>
          <w:tab w:val="left" w:pos="6716"/>
        </w:tabs>
        <w:spacing w:line="360" w:lineRule="auto"/>
        <w:rPr>
          <w:rFonts w:hint="eastAsia" w:ascii="仿宋_GB2312" w:hAnsi="仿宋" w:eastAsia="仿宋_GB2312"/>
          <w:sz w:val="32"/>
          <w:szCs w:val="32"/>
        </w:rPr>
      </w:pPr>
      <w:r>
        <w:rPr>
          <w:rFonts w:hint="eastAsia" w:ascii="仿宋_GB2312" w:hAnsi="仿宋" w:eastAsia="仿宋_GB2312"/>
          <w:sz w:val="32"/>
          <w:szCs w:val="32"/>
        </w:rPr>
        <w:t>详情见：</w:t>
      </w:r>
      <w:r>
        <w:rPr>
          <w:rFonts w:hint="eastAsia" w:ascii="仿宋_GB2312" w:hAnsi="仿宋" w:eastAsia="仿宋_GB2312"/>
          <w:sz w:val="32"/>
          <w:szCs w:val="32"/>
        </w:rPr>
        <w:fldChar w:fldCharType="begin"/>
      </w:r>
      <w:r>
        <w:rPr>
          <w:rFonts w:hint="eastAsia" w:ascii="仿宋_GB2312" w:hAnsi="仿宋" w:eastAsia="仿宋_GB2312"/>
          <w:sz w:val="32"/>
          <w:szCs w:val="32"/>
        </w:rPr>
        <w:instrText xml:space="preserve"> HYPERLINK "https://edp.snai.edu/kc/83508.html" </w:instrText>
      </w:r>
      <w:r>
        <w:rPr>
          <w:rFonts w:hint="eastAsia" w:ascii="仿宋_GB2312" w:hAnsi="仿宋" w:eastAsia="仿宋_GB2312"/>
          <w:sz w:val="32"/>
          <w:szCs w:val="32"/>
        </w:rPr>
        <w:fldChar w:fldCharType="separate"/>
      </w:r>
      <w:r>
        <w:rPr>
          <w:rStyle w:val="8"/>
          <w:rFonts w:hint="eastAsia" w:ascii="仿宋_GB2312" w:hAnsi="仿宋" w:eastAsia="仿宋_GB2312"/>
          <w:sz w:val="32"/>
          <w:szCs w:val="32"/>
        </w:rPr>
        <w:t>https://edp.snai.edu/kc/83508.html</w:t>
      </w:r>
      <w:r>
        <w:rPr>
          <w:rFonts w:hint="eastAsia" w:ascii="仿宋_GB2312" w:hAnsi="仿宋" w:eastAsia="仿宋_GB2312"/>
          <w:sz w:val="32"/>
          <w:szCs w:val="32"/>
        </w:rPr>
        <w:fldChar w:fldCharType="end"/>
      </w:r>
    </w:p>
    <w:p w14:paraId="10C22DD0">
      <w:pPr>
        <w:widowControl/>
        <w:tabs>
          <w:tab w:val="center" w:pos="4766"/>
          <w:tab w:val="left" w:pos="6716"/>
        </w:tabs>
        <w:spacing w:line="360" w:lineRule="auto"/>
        <w:rPr>
          <w:rFonts w:hint="eastAsia" w:ascii="仿宋_GB2312" w:hAnsi="仿宋" w:eastAsia="仿宋_GB2312"/>
          <w:sz w:val="32"/>
          <w:szCs w:val="32"/>
        </w:rPr>
      </w:pPr>
    </w:p>
    <w:p w14:paraId="7A5A53A2">
      <w:pPr>
        <w:widowControl/>
        <w:tabs>
          <w:tab w:val="center" w:pos="4766"/>
          <w:tab w:val="left" w:pos="6716"/>
        </w:tabs>
        <w:spacing w:line="360" w:lineRule="auto"/>
        <w:rPr>
          <w:rFonts w:hint="eastAsia" w:ascii="仿宋_GB2312" w:hAnsi="仿宋" w:eastAsia="仿宋_GB2312"/>
          <w:sz w:val="32"/>
          <w:szCs w:val="32"/>
        </w:rPr>
      </w:pPr>
    </w:p>
    <w:p w14:paraId="3BAF5EF0">
      <w:pPr>
        <w:widowControl/>
        <w:tabs>
          <w:tab w:val="center" w:pos="4766"/>
          <w:tab w:val="left" w:pos="6716"/>
        </w:tabs>
        <w:spacing w:line="480" w:lineRule="exact"/>
        <w:rPr>
          <w:rFonts w:hint="eastAsia" w:ascii="黑体" w:hAnsi="黑体" w:eastAsia="黑体"/>
          <w:b/>
          <w:bCs/>
          <w:color w:val="000000"/>
          <w:sz w:val="32"/>
          <w:szCs w:val="32"/>
        </w:rPr>
      </w:pPr>
    </w:p>
    <w:p w14:paraId="51D9F7A0">
      <w:pPr>
        <w:widowControl/>
        <w:tabs>
          <w:tab w:val="center" w:pos="4766"/>
          <w:tab w:val="left" w:pos="6716"/>
        </w:tabs>
        <w:spacing w:line="480" w:lineRule="exact"/>
        <w:rPr>
          <w:rFonts w:hint="eastAsia" w:ascii="黑体" w:hAnsi="黑体" w:eastAsia="黑体"/>
          <w:b/>
          <w:bCs/>
          <w:color w:val="000000"/>
          <w:sz w:val="32"/>
          <w:szCs w:val="32"/>
        </w:rPr>
      </w:pPr>
      <w:r>
        <w:rPr>
          <w:rFonts w:hint="eastAsia" w:ascii="黑体" w:hAnsi="黑体" w:eastAsia="黑体"/>
          <w:b/>
          <w:bCs/>
          <w:color w:val="000000"/>
          <w:sz w:val="32"/>
          <w:szCs w:val="32"/>
        </w:rPr>
        <w:t>附件二：</w:t>
      </w:r>
    </w:p>
    <w:p w14:paraId="31FD982E">
      <w:pPr>
        <w:widowControl/>
        <w:tabs>
          <w:tab w:val="center" w:pos="4766"/>
          <w:tab w:val="left" w:pos="6716"/>
        </w:tabs>
        <w:spacing w:line="480" w:lineRule="exact"/>
        <w:jc w:val="center"/>
        <w:rPr>
          <w:rFonts w:hint="eastAsia" w:ascii="黑体" w:hAnsi="黑体" w:eastAsia="黑体" w:cs="宋体"/>
          <w:b/>
          <w:bCs/>
          <w:color w:val="000000"/>
          <w:kern w:val="0"/>
          <w:sz w:val="36"/>
          <w:szCs w:val="36"/>
        </w:rPr>
      </w:pPr>
      <w:r>
        <w:rPr>
          <w:rFonts w:hint="eastAsia" w:ascii="黑体" w:hAnsi="黑体" w:eastAsia="黑体" w:cs="宋体"/>
          <w:b/>
          <w:bCs/>
          <w:color w:val="000000"/>
          <w:kern w:val="0"/>
          <w:sz w:val="36"/>
          <w:szCs w:val="36"/>
        </w:rPr>
        <w:t>上海国家会计学院</w:t>
      </w:r>
    </w:p>
    <w:p w14:paraId="5DF1EC90">
      <w:pPr>
        <w:widowControl/>
        <w:tabs>
          <w:tab w:val="center" w:pos="4766"/>
          <w:tab w:val="left" w:pos="6716"/>
        </w:tabs>
        <w:spacing w:line="480" w:lineRule="exact"/>
        <w:jc w:val="center"/>
        <w:rPr>
          <w:rFonts w:hint="eastAsia" w:ascii="黑体" w:hAnsi="黑体" w:eastAsia="黑体" w:cs="宋体"/>
          <w:b/>
          <w:bCs/>
          <w:color w:val="000000"/>
          <w:kern w:val="0"/>
          <w:sz w:val="36"/>
          <w:szCs w:val="36"/>
        </w:rPr>
      </w:pPr>
      <w:r>
        <w:rPr>
          <w:rFonts w:hint="eastAsia" w:ascii="黑体" w:hAnsi="黑体" w:eastAsia="黑体" w:cs="宋体"/>
          <w:b/>
          <w:bCs/>
          <w:color w:val="000000"/>
          <w:kern w:val="0"/>
          <w:sz w:val="36"/>
          <w:szCs w:val="36"/>
        </w:rPr>
        <w:t>“名师课程：新型监管机制下企业税收合规管理”</w:t>
      </w:r>
    </w:p>
    <w:p w14:paraId="68C3FB7E">
      <w:pPr>
        <w:widowControl/>
        <w:tabs>
          <w:tab w:val="center" w:pos="4766"/>
          <w:tab w:val="left" w:pos="6716"/>
        </w:tabs>
        <w:spacing w:line="480" w:lineRule="exact"/>
        <w:jc w:val="center"/>
        <w:rPr>
          <w:rFonts w:hint="eastAsia" w:ascii="黑体" w:hAnsi="黑体" w:eastAsia="黑体" w:cs="宋体"/>
          <w:b/>
          <w:bCs/>
          <w:color w:val="000000"/>
          <w:kern w:val="0"/>
          <w:sz w:val="36"/>
          <w:szCs w:val="36"/>
        </w:rPr>
      </w:pPr>
      <w:bookmarkStart w:id="0" w:name="_GoBack"/>
      <w:bookmarkEnd w:id="0"/>
      <w:r>
        <w:rPr>
          <w:rFonts w:hint="eastAsia" w:ascii="黑体" w:hAnsi="黑体" w:eastAsia="黑体" w:cs="宋体"/>
          <w:b/>
          <w:bCs/>
          <w:color w:val="000000"/>
          <w:kern w:val="0"/>
          <w:sz w:val="36"/>
          <w:szCs w:val="36"/>
        </w:rPr>
        <w:t>培训班报名回执表</w:t>
      </w:r>
    </w:p>
    <w:p w14:paraId="4194085C">
      <w:pPr>
        <w:widowControl/>
        <w:tabs>
          <w:tab w:val="center" w:pos="4766"/>
          <w:tab w:val="left" w:pos="6716"/>
        </w:tabs>
        <w:spacing w:line="480" w:lineRule="exact"/>
        <w:jc w:val="center"/>
        <w:rPr>
          <w:rFonts w:hint="eastAsia" w:ascii="仿宋_GB2312" w:hAnsi="宋体" w:eastAsia="仿宋_GB2312" w:cs="宋体"/>
          <w:b/>
          <w:bCs/>
          <w:color w:val="000000"/>
          <w:kern w:val="0"/>
          <w:sz w:val="30"/>
          <w:szCs w:val="30"/>
        </w:rPr>
      </w:pPr>
    </w:p>
    <w:tbl>
      <w:tblPr>
        <w:tblStyle w:val="6"/>
        <w:tblpPr w:leftFromText="180" w:rightFromText="180" w:vertAnchor="text" w:horzAnchor="page" w:tblpX="1455" w:tblpY="156"/>
        <w:tblOverlap w:val="never"/>
        <w:tblW w:w="9297" w:type="dxa"/>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554"/>
        <w:gridCol w:w="767"/>
        <w:gridCol w:w="368"/>
        <w:gridCol w:w="699"/>
        <w:gridCol w:w="1102"/>
        <w:gridCol w:w="467"/>
        <w:gridCol w:w="1275"/>
        <w:gridCol w:w="606"/>
        <w:gridCol w:w="670"/>
        <w:gridCol w:w="1789"/>
      </w:tblGrid>
      <w:tr w14:paraId="4DE33635">
        <w:trPr>
          <w:trHeight w:val="644" w:hRule="atLeast"/>
        </w:trPr>
        <w:tc>
          <w:tcPr>
            <w:tcW w:w="15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711875D">
            <w:pPr>
              <w:autoSpaceDN w:val="0"/>
              <w:spacing w:before="156" w:after="156"/>
              <w:jc w:val="center"/>
              <w:rPr>
                <w:rFonts w:hint="eastAsia" w:ascii="宋体" w:hAnsi="宋体"/>
                <w:color w:val="000000"/>
                <w:szCs w:val="21"/>
              </w:rPr>
            </w:pPr>
            <w:r>
              <w:rPr>
                <w:rFonts w:hint="eastAsia" w:ascii="宋体" w:hAnsi="宋体"/>
                <w:b/>
                <w:color w:val="000000"/>
                <w:szCs w:val="21"/>
              </w:rPr>
              <w:t>单位名称</w:t>
            </w:r>
          </w:p>
        </w:tc>
        <w:tc>
          <w:tcPr>
            <w:tcW w:w="4678" w:type="dxa"/>
            <w:gridSpan w:val="6"/>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682E1BD">
            <w:pPr>
              <w:wordWrap w:val="0"/>
              <w:autoSpaceDN w:val="0"/>
              <w:ind w:right="960"/>
              <w:rPr>
                <w:rFonts w:hint="eastAsia" w:ascii="宋体" w:hAnsi="宋体"/>
                <w:color w:val="000000"/>
                <w:szCs w:val="21"/>
              </w:rPr>
            </w:pPr>
          </w:p>
        </w:tc>
        <w:tc>
          <w:tcPr>
            <w:tcW w:w="1276" w:type="dxa"/>
            <w:gridSpan w:val="2"/>
            <w:tcBorders>
              <w:top w:val="single" w:color="000000" w:sz="4" w:space="0"/>
              <w:left w:val="single" w:color="000000" w:sz="4" w:space="0"/>
              <w:bottom w:val="single" w:color="000000" w:sz="4" w:space="0"/>
              <w:right w:val="single" w:color="000000" w:sz="4" w:space="0"/>
            </w:tcBorders>
            <w:vAlign w:val="center"/>
          </w:tcPr>
          <w:p w14:paraId="061AD92B">
            <w:pPr>
              <w:wordWrap w:val="0"/>
              <w:autoSpaceDN w:val="0"/>
              <w:ind w:right="211"/>
              <w:jc w:val="right"/>
              <w:rPr>
                <w:rFonts w:hint="eastAsia" w:ascii="宋体" w:hAnsi="宋体"/>
                <w:color w:val="000000"/>
                <w:szCs w:val="21"/>
              </w:rPr>
            </w:pPr>
            <w:r>
              <w:rPr>
                <w:rFonts w:hint="eastAsia" w:ascii="宋体" w:hAnsi="宋体"/>
                <w:b/>
                <w:color w:val="000000"/>
                <w:szCs w:val="21"/>
              </w:rPr>
              <w:t>单位所在地</w:t>
            </w:r>
          </w:p>
        </w:tc>
        <w:tc>
          <w:tcPr>
            <w:tcW w:w="1789" w:type="dxa"/>
            <w:tcBorders>
              <w:top w:val="single" w:color="000000" w:sz="4" w:space="0"/>
              <w:left w:val="single" w:color="000000" w:sz="4" w:space="0"/>
              <w:bottom w:val="single" w:color="000000" w:sz="4" w:space="0"/>
              <w:right w:val="single" w:color="000000" w:sz="4" w:space="0"/>
            </w:tcBorders>
            <w:vAlign w:val="center"/>
          </w:tcPr>
          <w:p w14:paraId="4F0A015D">
            <w:pPr>
              <w:wordWrap w:val="0"/>
              <w:autoSpaceDN w:val="0"/>
              <w:jc w:val="right"/>
              <w:rPr>
                <w:rFonts w:hint="eastAsia" w:ascii="宋体" w:hAnsi="宋体"/>
                <w:color w:val="000000"/>
                <w:szCs w:val="21"/>
              </w:rPr>
            </w:pPr>
            <w:r>
              <w:rPr>
                <w:rFonts w:hint="eastAsia" w:ascii="宋体" w:hAnsi="宋体"/>
                <w:b/>
                <w:bCs/>
                <w:color w:val="000000"/>
                <w:szCs w:val="21"/>
                <w:u w:val="single"/>
              </w:rPr>
              <w:t xml:space="preserve"> </w:t>
            </w:r>
            <w:r>
              <w:rPr>
                <w:rFonts w:ascii="宋体" w:hAnsi="宋体"/>
                <w:b/>
                <w:bCs/>
                <w:color w:val="000000"/>
                <w:szCs w:val="21"/>
                <w:u w:val="single"/>
              </w:rPr>
              <w:t xml:space="preserve">    </w:t>
            </w:r>
            <w:r>
              <w:rPr>
                <w:rFonts w:hint="eastAsia" w:ascii="宋体" w:hAnsi="宋体"/>
                <w:b/>
                <w:bCs/>
                <w:color w:val="000000"/>
                <w:szCs w:val="21"/>
              </w:rPr>
              <w:t>省</w:t>
            </w:r>
            <w:r>
              <w:rPr>
                <w:rFonts w:hint="eastAsia" w:ascii="宋体" w:hAnsi="宋体"/>
                <w:b/>
                <w:bCs/>
                <w:color w:val="000000"/>
                <w:szCs w:val="21"/>
                <w:u w:val="single"/>
              </w:rPr>
              <w:t xml:space="preserve"> </w:t>
            </w:r>
            <w:r>
              <w:rPr>
                <w:rFonts w:ascii="宋体" w:hAnsi="宋体"/>
                <w:b/>
                <w:bCs/>
                <w:color w:val="000000"/>
                <w:szCs w:val="21"/>
                <w:u w:val="single"/>
              </w:rPr>
              <w:t xml:space="preserve">   </w:t>
            </w:r>
            <w:r>
              <w:rPr>
                <w:rFonts w:hint="eastAsia" w:ascii="宋体" w:hAnsi="宋体"/>
                <w:b/>
                <w:bCs/>
                <w:color w:val="000000"/>
                <w:szCs w:val="21"/>
              </w:rPr>
              <w:t>市</w:t>
            </w:r>
          </w:p>
        </w:tc>
      </w:tr>
      <w:tr w14:paraId="433A389D">
        <w:trPr>
          <w:trHeight w:val="580" w:hRule="atLeast"/>
        </w:trPr>
        <w:tc>
          <w:tcPr>
            <w:tcW w:w="15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0A37EE6">
            <w:pPr>
              <w:tabs>
                <w:tab w:val="left" w:pos="360"/>
                <w:tab w:val="left" w:pos="540"/>
              </w:tabs>
              <w:wordWrap w:val="0"/>
              <w:autoSpaceDN w:val="0"/>
              <w:spacing w:before="156" w:after="156"/>
              <w:jc w:val="center"/>
              <w:rPr>
                <w:rFonts w:hint="eastAsia" w:ascii="宋体" w:hAnsi="宋体"/>
                <w:color w:val="000000"/>
                <w:szCs w:val="21"/>
              </w:rPr>
            </w:pPr>
            <w:r>
              <w:rPr>
                <w:rFonts w:ascii="宋体" w:hAnsi="宋体"/>
                <w:b/>
                <w:color w:val="000000"/>
                <w:szCs w:val="21"/>
              </w:rPr>
              <w:t>联系人</w:t>
            </w:r>
            <w:r>
              <w:rPr>
                <w:rFonts w:hint="eastAsia" w:ascii="宋体" w:hAnsi="宋体"/>
                <w:b/>
                <w:color w:val="000000"/>
                <w:szCs w:val="21"/>
              </w:rPr>
              <w:t>姓名</w:t>
            </w:r>
          </w:p>
        </w:tc>
        <w:tc>
          <w:tcPr>
            <w:tcW w:w="113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B4809C2">
            <w:pPr>
              <w:tabs>
                <w:tab w:val="left" w:pos="360"/>
                <w:tab w:val="left" w:pos="540"/>
              </w:tabs>
              <w:wordWrap w:val="0"/>
              <w:autoSpaceDN w:val="0"/>
              <w:jc w:val="center"/>
              <w:rPr>
                <w:rFonts w:hint="eastAsia" w:ascii="宋体" w:hAnsi="宋体"/>
                <w:color w:val="000000"/>
                <w:szCs w:val="21"/>
              </w:rPr>
            </w:pPr>
          </w:p>
        </w:tc>
        <w:tc>
          <w:tcPr>
            <w:tcW w:w="6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5AB26E6">
            <w:pPr>
              <w:tabs>
                <w:tab w:val="left" w:pos="360"/>
                <w:tab w:val="left" w:pos="540"/>
              </w:tabs>
              <w:wordWrap w:val="0"/>
              <w:autoSpaceDN w:val="0"/>
              <w:ind w:left="27"/>
              <w:jc w:val="center"/>
              <w:rPr>
                <w:rFonts w:hint="eastAsia" w:ascii="宋体" w:hAnsi="宋体"/>
                <w:b/>
                <w:color w:val="000000"/>
                <w:szCs w:val="21"/>
              </w:rPr>
            </w:pPr>
            <w:r>
              <w:rPr>
                <w:rFonts w:hint="eastAsia" w:ascii="宋体" w:hAnsi="宋体"/>
                <w:b/>
                <w:color w:val="000000"/>
                <w:szCs w:val="21"/>
              </w:rPr>
              <w:t>手机</w:t>
            </w:r>
          </w:p>
        </w:tc>
        <w:tc>
          <w:tcPr>
            <w:tcW w:w="2844" w:type="dxa"/>
            <w:gridSpan w:val="3"/>
            <w:tcBorders>
              <w:top w:val="single" w:color="000000" w:sz="4" w:space="0"/>
              <w:left w:val="single" w:color="000000" w:sz="4" w:space="0"/>
              <w:bottom w:val="single" w:color="000000" w:sz="4" w:space="0"/>
              <w:right w:val="single" w:color="000000" w:sz="4" w:space="0"/>
            </w:tcBorders>
            <w:vAlign w:val="center"/>
          </w:tcPr>
          <w:p w14:paraId="22003413">
            <w:pPr>
              <w:tabs>
                <w:tab w:val="left" w:pos="360"/>
                <w:tab w:val="left" w:pos="540"/>
              </w:tabs>
              <w:wordWrap w:val="0"/>
              <w:autoSpaceDN w:val="0"/>
              <w:ind w:left="27"/>
              <w:jc w:val="center"/>
              <w:rPr>
                <w:rFonts w:hint="eastAsia" w:ascii="宋体" w:hAnsi="宋体"/>
                <w:b/>
                <w:color w:val="000000"/>
                <w:szCs w:val="21"/>
              </w:rPr>
            </w:pPr>
          </w:p>
        </w:tc>
        <w:tc>
          <w:tcPr>
            <w:tcW w:w="606" w:type="dxa"/>
            <w:tcBorders>
              <w:top w:val="single" w:color="000000" w:sz="4" w:space="0"/>
              <w:left w:val="single" w:color="000000" w:sz="4" w:space="0"/>
              <w:bottom w:val="single" w:color="000000" w:sz="4" w:space="0"/>
              <w:right w:val="single" w:color="000000" w:sz="4" w:space="0"/>
            </w:tcBorders>
            <w:vAlign w:val="center"/>
          </w:tcPr>
          <w:p w14:paraId="7CDA93AA">
            <w:pPr>
              <w:tabs>
                <w:tab w:val="left" w:pos="360"/>
                <w:tab w:val="left" w:pos="540"/>
              </w:tabs>
              <w:wordWrap w:val="0"/>
              <w:autoSpaceDN w:val="0"/>
              <w:ind w:left="27"/>
              <w:jc w:val="center"/>
              <w:rPr>
                <w:rFonts w:hint="eastAsia" w:ascii="宋体" w:hAnsi="宋体"/>
                <w:b/>
                <w:color w:val="000000"/>
                <w:szCs w:val="21"/>
              </w:rPr>
            </w:pPr>
            <w:r>
              <w:rPr>
                <w:rFonts w:ascii="宋体" w:hAnsi="宋体"/>
                <w:b/>
                <w:color w:val="000000"/>
                <w:szCs w:val="21"/>
              </w:rPr>
              <w:t>邮箱</w:t>
            </w:r>
          </w:p>
        </w:tc>
        <w:tc>
          <w:tcPr>
            <w:tcW w:w="2459" w:type="dxa"/>
            <w:gridSpan w:val="2"/>
            <w:tcBorders>
              <w:top w:val="single" w:color="000000" w:sz="4" w:space="0"/>
              <w:left w:val="single" w:color="000000" w:sz="4" w:space="0"/>
              <w:bottom w:val="single" w:color="000000" w:sz="4" w:space="0"/>
              <w:right w:val="single" w:color="000000" w:sz="4" w:space="0"/>
            </w:tcBorders>
            <w:vAlign w:val="center"/>
          </w:tcPr>
          <w:p w14:paraId="685FEDFF">
            <w:pPr>
              <w:tabs>
                <w:tab w:val="left" w:pos="360"/>
                <w:tab w:val="left" w:pos="540"/>
              </w:tabs>
              <w:wordWrap w:val="0"/>
              <w:autoSpaceDN w:val="0"/>
              <w:ind w:left="27"/>
              <w:jc w:val="center"/>
              <w:rPr>
                <w:rFonts w:hint="eastAsia" w:ascii="宋体" w:hAnsi="宋体"/>
                <w:color w:val="000000"/>
                <w:szCs w:val="21"/>
              </w:rPr>
            </w:pPr>
          </w:p>
        </w:tc>
      </w:tr>
      <w:tr w14:paraId="51E0B862">
        <w:trPr>
          <w:trHeight w:val="616" w:hRule="atLeast"/>
        </w:trPr>
        <w:tc>
          <w:tcPr>
            <w:tcW w:w="15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B9AA4DF">
            <w:pPr>
              <w:tabs>
                <w:tab w:val="left" w:pos="360"/>
                <w:tab w:val="left" w:pos="540"/>
              </w:tabs>
              <w:wordWrap w:val="0"/>
              <w:autoSpaceDN w:val="0"/>
              <w:spacing w:before="156" w:after="156"/>
              <w:jc w:val="center"/>
              <w:rPr>
                <w:rFonts w:hint="eastAsia" w:ascii="宋体" w:hAnsi="宋体"/>
                <w:b/>
                <w:color w:val="000000"/>
                <w:szCs w:val="21"/>
              </w:rPr>
            </w:pPr>
            <w:r>
              <w:rPr>
                <w:rFonts w:hint="eastAsia" w:ascii="宋体" w:hAnsi="宋体"/>
                <w:b/>
                <w:color w:val="000000"/>
                <w:szCs w:val="21"/>
              </w:rPr>
              <w:t>学员姓名</w:t>
            </w:r>
          </w:p>
        </w:tc>
        <w:tc>
          <w:tcPr>
            <w:tcW w:w="7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6B3BD93">
            <w:pPr>
              <w:tabs>
                <w:tab w:val="left" w:pos="360"/>
                <w:tab w:val="left" w:pos="540"/>
              </w:tabs>
              <w:wordWrap w:val="0"/>
              <w:autoSpaceDN w:val="0"/>
              <w:jc w:val="center"/>
              <w:rPr>
                <w:rFonts w:hint="eastAsia" w:ascii="宋体" w:hAnsi="宋体"/>
                <w:b/>
                <w:color w:val="000000"/>
                <w:spacing w:val="-26"/>
                <w:szCs w:val="21"/>
              </w:rPr>
            </w:pPr>
            <w:r>
              <w:rPr>
                <w:rFonts w:ascii="宋体" w:hAnsi="宋体"/>
                <w:b/>
                <w:color w:val="000000"/>
                <w:spacing w:val="-26"/>
                <w:szCs w:val="21"/>
              </w:rPr>
              <w:t>性别</w:t>
            </w:r>
          </w:p>
        </w:tc>
        <w:tc>
          <w:tcPr>
            <w:tcW w:w="106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87CA3F2">
            <w:pPr>
              <w:tabs>
                <w:tab w:val="left" w:pos="360"/>
                <w:tab w:val="left" w:pos="540"/>
              </w:tabs>
              <w:wordWrap w:val="0"/>
              <w:autoSpaceDN w:val="0"/>
              <w:ind w:left="27"/>
              <w:jc w:val="center"/>
              <w:rPr>
                <w:rFonts w:hint="eastAsia" w:ascii="宋体" w:hAnsi="宋体"/>
                <w:b/>
                <w:color w:val="000000"/>
                <w:szCs w:val="21"/>
              </w:rPr>
            </w:pPr>
            <w:r>
              <w:rPr>
                <w:rFonts w:hint="eastAsia" w:ascii="宋体" w:hAnsi="宋体"/>
                <w:b/>
                <w:color w:val="000000"/>
                <w:szCs w:val="21"/>
              </w:rPr>
              <w:t>部门</w:t>
            </w:r>
          </w:p>
        </w:tc>
        <w:tc>
          <w:tcPr>
            <w:tcW w:w="1569" w:type="dxa"/>
            <w:gridSpan w:val="2"/>
            <w:tcBorders>
              <w:top w:val="single" w:color="000000" w:sz="4" w:space="0"/>
              <w:left w:val="single" w:color="000000" w:sz="4" w:space="0"/>
              <w:bottom w:val="single" w:color="000000" w:sz="4" w:space="0"/>
              <w:right w:val="single" w:color="000000" w:sz="4" w:space="0"/>
            </w:tcBorders>
            <w:vAlign w:val="center"/>
          </w:tcPr>
          <w:p w14:paraId="00AA31D7">
            <w:pPr>
              <w:tabs>
                <w:tab w:val="left" w:pos="360"/>
                <w:tab w:val="left" w:pos="540"/>
              </w:tabs>
              <w:wordWrap w:val="0"/>
              <w:autoSpaceDN w:val="0"/>
              <w:ind w:left="27"/>
              <w:jc w:val="center"/>
              <w:rPr>
                <w:rFonts w:hint="eastAsia" w:ascii="宋体" w:hAnsi="宋体"/>
                <w:b/>
                <w:color w:val="000000"/>
                <w:szCs w:val="21"/>
              </w:rPr>
            </w:pPr>
            <w:r>
              <w:rPr>
                <w:rFonts w:hint="eastAsia" w:ascii="宋体" w:hAnsi="宋体"/>
                <w:b/>
                <w:color w:val="000000"/>
                <w:szCs w:val="21"/>
              </w:rPr>
              <w:t>职务</w:t>
            </w:r>
          </w:p>
        </w:tc>
        <w:tc>
          <w:tcPr>
            <w:tcW w:w="1881" w:type="dxa"/>
            <w:gridSpan w:val="2"/>
            <w:tcBorders>
              <w:top w:val="single" w:color="000000" w:sz="4" w:space="0"/>
              <w:left w:val="single" w:color="000000" w:sz="4" w:space="0"/>
              <w:bottom w:val="single" w:color="000000" w:sz="4" w:space="0"/>
              <w:right w:val="single" w:color="000000" w:sz="4" w:space="0"/>
            </w:tcBorders>
            <w:vAlign w:val="center"/>
          </w:tcPr>
          <w:p w14:paraId="1C46BE0E">
            <w:pPr>
              <w:tabs>
                <w:tab w:val="left" w:pos="360"/>
                <w:tab w:val="left" w:pos="540"/>
              </w:tabs>
              <w:wordWrap w:val="0"/>
              <w:autoSpaceDN w:val="0"/>
              <w:ind w:left="27"/>
              <w:jc w:val="center"/>
              <w:rPr>
                <w:rFonts w:hint="eastAsia" w:ascii="宋体" w:hAnsi="宋体"/>
                <w:b/>
                <w:color w:val="000000"/>
                <w:szCs w:val="21"/>
              </w:rPr>
            </w:pPr>
            <w:r>
              <w:rPr>
                <w:rFonts w:hint="eastAsia" w:ascii="宋体" w:hAnsi="宋体"/>
                <w:b/>
                <w:color w:val="000000"/>
                <w:szCs w:val="21"/>
              </w:rPr>
              <w:t>手机</w:t>
            </w:r>
          </w:p>
        </w:tc>
        <w:tc>
          <w:tcPr>
            <w:tcW w:w="2459" w:type="dxa"/>
            <w:gridSpan w:val="2"/>
            <w:tcBorders>
              <w:top w:val="single" w:color="000000" w:sz="4" w:space="0"/>
              <w:left w:val="single" w:color="000000" w:sz="4" w:space="0"/>
              <w:bottom w:val="single" w:color="000000" w:sz="4" w:space="0"/>
              <w:right w:val="single" w:color="000000" w:sz="4" w:space="0"/>
            </w:tcBorders>
            <w:vAlign w:val="center"/>
          </w:tcPr>
          <w:p w14:paraId="60F5D45C">
            <w:pPr>
              <w:tabs>
                <w:tab w:val="left" w:pos="360"/>
                <w:tab w:val="left" w:pos="540"/>
              </w:tabs>
              <w:wordWrap w:val="0"/>
              <w:autoSpaceDN w:val="0"/>
              <w:ind w:left="27"/>
              <w:jc w:val="center"/>
              <w:rPr>
                <w:rFonts w:hint="eastAsia" w:ascii="宋体" w:hAnsi="宋体"/>
                <w:b/>
                <w:color w:val="000000"/>
                <w:szCs w:val="21"/>
              </w:rPr>
            </w:pPr>
            <w:r>
              <w:rPr>
                <w:rFonts w:ascii="宋体" w:hAnsi="宋体"/>
                <w:b/>
                <w:color w:val="000000"/>
                <w:szCs w:val="21"/>
              </w:rPr>
              <w:t>邮箱</w:t>
            </w:r>
          </w:p>
        </w:tc>
      </w:tr>
      <w:tr w14:paraId="01E00857">
        <w:trPr>
          <w:trHeight w:val="616" w:hRule="atLeast"/>
        </w:trPr>
        <w:tc>
          <w:tcPr>
            <w:tcW w:w="15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50E596D">
            <w:pPr>
              <w:tabs>
                <w:tab w:val="left" w:pos="360"/>
                <w:tab w:val="left" w:pos="540"/>
              </w:tabs>
              <w:wordWrap w:val="0"/>
              <w:autoSpaceDN w:val="0"/>
              <w:spacing w:before="156" w:after="156"/>
              <w:jc w:val="center"/>
              <w:rPr>
                <w:rFonts w:hint="eastAsia" w:ascii="仿宋" w:hAnsi="仿宋" w:eastAsia="仿宋"/>
                <w:b/>
                <w:color w:val="000000"/>
                <w:szCs w:val="21"/>
              </w:rPr>
            </w:pPr>
          </w:p>
        </w:tc>
        <w:tc>
          <w:tcPr>
            <w:tcW w:w="7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2896B91">
            <w:pPr>
              <w:tabs>
                <w:tab w:val="left" w:pos="360"/>
                <w:tab w:val="left" w:pos="540"/>
              </w:tabs>
              <w:wordWrap w:val="0"/>
              <w:autoSpaceDN w:val="0"/>
              <w:rPr>
                <w:rFonts w:hint="eastAsia" w:ascii="仿宋" w:hAnsi="仿宋" w:eastAsia="仿宋"/>
                <w:b/>
                <w:color w:val="000000"/>
                <w:spacing w:val="-26"/>
                <w:szCs w:val="21"/>
              </w:rPr>
            </w:pPr>
          </w:p>
        </w:tc>
        <w:tc>
          <w:tcPr>
            <w:tcW w:w="106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CF0394B">
            <w:pPr>
              <w:tabs>
                <w:tab w:val="left" w:pos="360"/>
                <w:tab w:val="left" w:pos="540"/>
              </w:tabs>
              <w:wordWrap w:val="0"/>
              <w:autoSpaceDN w:val="0"/>
              <w:ind w:left="27"/>
              <w:jc w:val="center"/>
              <w:rPr>
                <w:rFonts w:hint="eastAsia" w:ascii="仿宋" w:hAnsi="仿宋" w:eastAsia="仿宋"/>
                <w:b/>
                <w:color w:val="000000"/>
                <w:szCs w:val="21"/>
              </w:rPr>
            </w:pPr>
          </w:p>
        </w:tc>
        <w:tc>
          <w:tcPr>
            <w:tcW w:w="1569" w:type="dxa"/>
            <w:gridSpan w:val="2"/>
            <w:tcBorders>
              <w:top w:val="single" w:color="000000" w:sz="4" w:space="0"/>
              <w:left w:val="single" w:color="000000" w:sz="4" w:space="0"/>
              <w:bottom w:val="single" w:color="000000" w:sz="4" w:space="0"/>
              <w:right w:val="single" w:color="000000" w:sz="4" w:space="0"/>
            </w:tcBorders>
            <w:vAlign w:val="center"/>
          </w:tcPr>
          <w:p w14:paraId="56D2E51D">
            <w:pPr>
              <w:tabs>
                <w:tab w:val="left" w:pos="360"/>
                <w:tab w:val="left" w:pos="540"/>
              </w:tabs>
              <w:wordWrap w:val="0"/>
              <w:autoSpaceDN w:val="0"/>
              <w:ind w:left="27"/>
              <w:jc w:val="center"/>
              <w:rPr>
                <w:rFonts w:hint="eastAsia" w:ascii="仿宋" w:hAnsi="仿宋" w:eastAsia="仿宋"/>
                <w:b/>
                <w:color w:val="000000"/>
                <w:szCs w:val="21"/>
              </w:rPr>
            </w:pPr>
          </w:p>
        </w:tc>
        <w:tc>
          <w:tcPr>
            <w:tcW w:w="1881" w:type="dxa"/>
            <w:gridSpan w:val="2"/>
            <w:tcBorders>
              <w:top w:val="single" w:color="000000" w:sz="4" w:space="0"/>
              <w:left w:val="single" w:color="000000" w:sz="4" w:space="0"/>
              <w:bottom w:val="single" w:color="000000" w:sz="4" w:space="0"/>
              <w:right w:val="single" w:color="000000" w:sz="4" w:space="0"/>
            </w:tcBorders>
            <w:vAlign w:val="center"/>
          </w:tcPr>
          <w:p w14:paraId="73AC6578">
            <w:pPr>
              <w:tabs>
                <w:tab w:val="left" w:pos="360"/>
                <w:tab w:val="left" w:pos="540"/>
              </w:tabs>
              <w:wordWrap w:val="0"/>
              <w:autoSpaceDN w:val="0"/>
              <w:ind w:left="27"/>
              <w:jc w:val="center"/>
              <w:rPr>
                <w:rFonts w:hint="eastAsia" w:ascii="仿宋" w:hAnsi="仿宋" w:eastAsia="仿宋"/>
                <w:b/>
                <w:color w:val="000000"/>
                <w:szCs w:val="21"/>
              </w:rPr>
            </w:pPr>
          </w:p>
        </w:tc>
        <w:tc>
          <w:tcPr>
            <w:tcW w:w="2459" w:type="dxa"/>
            <w:gridSpan w:val="2"/>
            <w:tcBorders>
              <w:top w:val="single" w:color="000000" w:sz="4" w:space="0"/>
              <w:left w:val="single" w:color="000000" w:sz="4" w:space="0"/>
              <w:bottom w:val="single" w:color="000000" w:sz="4" w:space="0"/>
              <w:right w:val="single" w:color="000000" w:sz="4" w:space="0"/>
            </w:tcBorders>
            <w:vAlign w:val="center"/>
          </w:tcPr>
          <w:p w14:paraId="37BDA7ED">
            <w:pPr>
              <w:tabs>
                <w:tab w:val="left" w:pos="360"/>
                <w:tab w:val="left" w:pos="540"/>
              </w:tabs>
              <w:wordWrap w:val="0"/>
              <w:autoSpaceDN w:val="0"/>
              <w:ind w:left="27"/>
              <w:jc w:val="center"/>
              <w:rPr>
                <w:rFonts w:hint="eastAsia" w:ascii="仿宋" w:hAnsi="仿宋" w:eastAsia="仿宋"/>
                <w:b/>
                <w:color w:val="000000"/>
                <w:szCs w:val="21"/>
              </w:rPr>
            </w:pPr>
          </w:p>
        </w:tc>
      </w:tr>
      <w:tr w14:paraId="4D307C0A">
        <w:trPr>
          <w:trHeight w:val="616" w:hRule="atLeast"/>
        </w:trPr>
        <w:tc>
          <w:tcPr>
            <w:tcW w:w="15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AACB1E6">
            <w:pPr>
              <w:tabs>
                <w:tab w:val="left" w:pos="360"/>
                <w:tab w:val="left" w:pos="540"/>
              </w:tabs>
              <w:wordWrap w:val="0"/>
              <w:autoSpaceDN w:val="0"/>
              <w:spacing w:before="156" w:after="156"/>
              <w:jc w:val="center"/>
              <w:rPr>
                <w:rFonts w:hint="eastAsia" w:ascii="仿宋" w:hAnsi="仿宋" w:eastAsia="仿宋"/>
                <w:b/>
                <w:color w:val="000000"/>
                <w:szCs w:val="21"/>
              </w:rPr>
            </w:pPr>
          </w:p>
        </w:tc>
        <w:tc>
          <w:tcPr>
            <w:tcW w:w="7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E317231">
            <w:pPr>
              <w:tabs>
                <w:tab w:val="left" w:pos="360"/>
                <w:tab w:val="left" w:pos="540"/>
              </w:tabs>
              <w:wordWrap w:val="0"/>
              <w:autoSpaceDN w:val="0"/>
              <w:rPr>
                <w:rFonts w:hint="eastAsia" w:ascii="仿宋" w:hAnsi="仿宋" w:eastAsia="仿宋"/>
                <w:b/>
                <w:color w:val="000000"/>
                <w:spacing w:val="-26"/>
                <w:szCs w:val="21"/>
              </w:rPr>
            </w:pPr>
          </w:p>
        </w:tc>
        <w:tc>
          <w:tcPr>
            <w:tcW w:w="106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9F67DA8">
            <w:pPr>
              <w:tabs>
                <w:tab w:val="left" w:pos="360"/>
                <w:tab w:val="left" w:pos="540"/>
              </w:tabs>
              <w:wordWrap w:val="0"/>
              <w:autoSpaceDN w:val="0"/>
              <w:ind w:left="27"/>
              <w:jc w:val="center"/>
              <w:rPr>
                <w:rFonts w:hint="eastAsia" w:ascii="仿宋" w:hAnsi="仿宋" w:eastAsia="仿宋"/>
                <w:b/>
                <w:color w:val="000000"/>
                <w:szCs w:val="21"/>
              </w:rPr>
            </w:pPr>
          </w:p>
        </w:tc>
        <w:tc>
          <w:tcPr>
            <w:tcW w:w="1569" w:type="dxa"/>
            <w:gridSpan w:val="2"/>
            <w:tcBorders>
              <w:top w:val="single" w:color="000000" w:sz="4" w:space="0"/>
              <w:left w:val="single" w:color="000000" w:sz="4" w:space="0"/>
              <w:bottom w:val="single" w:color="000000" w:sz="4" w:space="0"/>
              <w:right w:val="single" w:color="000000" w:sz="4" w:space="0"/>
            </w:tcBorders>
            <w:vAlign w:val="center"/>
          </w:tcPr>
          <w:p w14:paraId="303F8C02">
            <w:pPr>
              <w:tabs>
                <w:tab w:val="left" w:pos="360"/>
                <w:tab w:val="left" w:pos="540"/>
              </w:tabs>
              <w:wordWrap w:val="0"/>
              <w:autoSpaceDN w:val="0"/>
              <w:ind w:left="27"/>
              <w:jc w:val="center"/>
              <w:rPr>
                <w:rFonts w:hint="eastAsia" w:ascii="仿宋" w:hAnsi="仿宋" w:eastAsia="仿宋"/>
                <w:b/>
                <w:color w:val="000000"/>
                <w:szCs w:val="21"/>
              </w:rPr>
            </w:pPr>
          </w:p>
        </w:tc>
        <w:tc>
          <w:tcPr>
            <w:tcW w:w="1881" w:type="dxa"/>
            <w:gridSpan w:val="2"/>
            <w:tcBorders>
              <w:top w:val="single" w:color="000000" w:sz="4" w:space="0"/>
              <w:left w:val="single" w:color="000000" w:sz="4" w:space="0"/>
              <w:bottom w:val="single" w:color="000000" w:sz="4" w:space="0"/>
              <w:right w:val="single" w:color="000000" w:sz="4" w:space="0"/>
            </w:tcBorders>
            <w:vAlign w:val="center"/>
          </w:tcPr>
          <w:p w14:paraId="10EAEF2A">
            <w:pPr>
              <w:tabs>
                <w:tab w:val="left" w:pos="360"/>
                <w:tab w:val="left" w:pos="540"/>
              </w:tabs>
              <w:wordWrap w:val="0"/>
              <w:autoSpaceDN w:val="0"/>
              <w:ind w:left="27"/>
              <w:jc w:val="center"/>
              <w:rPr>
                <w:rFonts w:hint="eastAsia" w:ascii="仿宋" w:hAnsi="仿宋" w:eastAsia="仿宋"/>
                <w:b/>
                <w:color w:val="000000"/>
                <w:szCs w:val="21"/>
              </w:rPr>
            </w:pPr>
          </w:p>
        </w:tc>
        <w:tc>
          <w:tcPr>
            <w:tcW w:w="2459" w:type="dxa"/>
            <w:gridSpan w:val="2"/>
            <w:tcBorders>
              <w:top w:val="single" w:color="000000" w:sz="4" w:space="0"/>
              <w:left w:val="single" w:color="000000" w:sz="4" w:space="0"/>
              <w:bottom w:val="single" w:color="000000" w:sz="4" w:space="0"/>
              <w:right w:val="single" w:color="000000" w:sz="4" w:space="0"/>
            </w:tcBorders>
            <w:vAlign w:val="center"/>
          </w:tcPr>
          <w:p w14:paraId="1FE5C7D8">
            <w:pPr>
              <w:tabs>
                <w:tab w:val="left" w:pos="360"/>
                <w:tab w:val="left" w:pos="540"/>
              </w:tabs>
              <w:wordWrap w:val="0"/>
              <w:autoSpaceDN w:val="0"/>
              <w:ind w:left="27"/>
              <w:jc w:val="center"/>
              <w:rPr>
                <w:rFonts w:hint="eastAsia" w:ascii="仿宋" w:hAnsi="仿宋" w:eastAsia="仿宋"/>
                <w:b/>
                <w:color w:val="000000"/>
                <w:szCs w:val="21"/>
              </w:rPr>
            </w:pPr>
          </w:p>
        </w:tc>
      </w:tr>
      <w:tr w14:paraId="76928870">
        <w:trPr>
          <w:trHeight w:val="616" w:hRule="atLeast"/>
        </w:trPr>
        <w:tc>
          <w:tcPr>
            <w:tcW w:w="15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8136BEA">
            <w:pPr>
              <w:tabs>
                <w:tab w:val="left" w:pos="360"/>
                <w:tab w:val="left" w:pos="540"/>
              </w:tabs>
              <w:wordWrap w:val="0"/>
              <w:autoSpaceDN w:val="0"/>
              <w:spacing w:before="156" w:after="156"/>
              <w:jc w:val="center"/>
              <w:rPr>
                <w:rFonts w:hint="eastAsia" w:ascii="仿宋" w:hAnsi="仿宋" w:eastAsia="仿宋"/>
                <w:b/>
                <w:color w:val="000000"/>
                <w:szCs w:val="21"/>
              </w:rPr>
            </w:pPr>
          </w:p>
        </w:tc>
        <w:tc>
          <w:tcPr>
            <w:tcW w:w="7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C1FD981">
            <w:pPr>
              <w:tabs>
                <w:tab w:val="left" w:pos="360"/>
                <w:tab w:val="left" w:pos="540"/>
              </w:tabs>
              <w:wordWrap w:val="0"/>
              <w:autoSpaceDN w:val="0"/>
              <w:rPr>
                <w:rFonts w:hint="eastAsia" w:ascii="仿宋" w:hAnsi="仿宋" w:eastAsia="仿宋"/>
                <w:b/>
                <w:color w:val="000000"/>
                <w:spacing w:val="-26"/>
                <w:szCs w:val="21"/>
              </w:rPr>
            </w:pPr>
          </w:p>
        </w:tc>
        <w:tc>
          <w:tcPr>
            <w:tcW w:w="106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CE82079">
            <w:pPr>
              <w:tabs>
                <w:tab w:val="left" w:pos="360"/>
                <w:tab w:val="left" w:pos="540"/>
              </w:tabs>
              <w:wordWrap w:val="0"/>
              <w:autoSpaceDN w:val="0"/>
              <w:ind w:left="27"/>
              <w:jc w:val="center"/>
              <w:rPr>
                <w:rFonts w:hint="eastAsia" w:ascii="仿宋" w:hAnsi="仿宋" w:eastAsia="仿宋"/>
                <w:b/>
                <w:color w:val="000000"/>
                <w:szCs w:val="21"/>
              </w:rPr>
            </w:pPr>
          </w:p>
        </w:tc>
        <w:tc>
          <w:tcPr>
            <w:tcW w:w="1569" w:type="dxa"/>
            <w:gridSpan w:val="2"/>
            <w:tcBorders>
              <w:top w:val="single" w:color="000000" w:sz="4" w:space="0"/>
              <w:left w:val="single" w:color="000000" w:sz="4" w:space="0"/>
              <w:bottom w:val="single" w:color="000000" w:sz="4" w:space="0"/>
              <w:right w:val="single" w:color="000000" w:sz="4" w:space="0"/>
            </w:tcBorders>
            <w:vAlign w:val="center"/>
          </w:tcPr>
          <w:p w14:paraId="2032B07B">
            <w:pPr>
              <w:tabs>
                <w:tab w:val="left" w:pos="360"/>
                <w:tab w:val="left" w:pos="540"/>
              </w:tabs>
              <w:wordWrap w:val="0"/>
              <w:autoSpaceDN w:val="0"/>
              <w:ind w:left="27"/>
              <w:jc w:val="center"/>
              <w:rPr>
                <w:rFonts w:hint="eastAsia" w:ascii="仿宋" w:hAnsi="仿宋" w:eastAsia="仿宋"/>
                <w:b/>
                <w:color w:val="000000"/>
                <w:szCs w:val="21"/>
              </w:rPr>
            </w:pPr>
          </w:p>
        </w:tc>
        <w:tc>
          <w:tcPr>
            <w:tcW w:w="1881" w:type="dxa"/>
            <w:gridSpan w:val="2"/>
            <w:tcBorders>
              <w:top w:val="single" w:color="000000" w:sz="4" w:space="0"/>
              <w:left w:val="single" w:color="000000" w:sz="4" w:space="0"/>
              <w:bottom w:val="single" w:color="000000" w:sz="4" w:space="0"/>
              <w:right w:val="single" w:color="000000" w:sz="4" w:space="0"/>
            </w:tcBorders>
            <w:vAlign w:val="center"/>
          </w:tcPr>
          <w:p w14:paraId="53A90F29">
            <w:pPr>
              <w:tabs>
                <w:tab w:val="left" w:pos="360"/>
                <w:tab w:val="left" w:pos="540"/>
              </w:tabs>
              <w:wordWrap w:val="0"/>
              <w:autoSpaceDN w:val="0"/>
              <w:ind w:left="27"/>
              <w:jc w:val="center"/>
              <w:rPr>
                <w:rFonts w:hint="eastAsia" w:ascii="仿宋" w:hAnsi="仿宋" w:eastAsia="仿宋"/>
                <w:b/>
                <w:color w:val="000000"/>
                <w:szCs w:val="21"/>
              </w:rPr>
            </w:pPr>
          </w:p>
        </w:tc>
        <w:tc>
          <w:tcPr>
            <w:tcW w:w="2459" w:type="dxa"/>
            <w:gridSpan w:val="2"/>
            <w:tcBorders>
              <w:top w:val="single" w:color="000000" w:sz="4" w:space="0"/>
              <w:left w:val="single" w:color="000000" w:sz="4" w:space="0"/>
              <w:bottom w:val="single" w:color="000000" w:sz="4" w:space="0"/>
              <w:right w:val="single" w:color="000000" w:sz="4" w:space="0"/>
            </w:tcBorders>
            <w:vAlign w:val="center"/>
          </w:tcPr>
          <w:p w14:paraId="17B785BE">
            <w:pPr>
              <w:tabs>
                <w:tab w:val="left" w:pos="360"/>
                <w:tab w:val="left" w:pos="540"/>
              </w:tabs>
              <w:wordWrap w:val="0"/>
              <w:autoSpaceDN w:val="0"/>
              <w:ind w:left="27"/>
              <w:jc w:val="center"/>
              <w:rPr>
                <w:rFonts w:hint="eastAsia" w:ascii="仿宋" w:hAnsi="仿宋" w:eastAsia="仿宋"/>
                <w:b/>
                <w:color w:val="000000"/>
                <w:szCs w:val="21"/>
              </w:rPr>
            </w:pPr>
          </w:p>
        </w:tc>
      </w:tr>
      <w:tr w14:paraId="3ACD42D4">
        <w:trPr>
          <w:trHeight w:val="616" w:hRule="atLeast"/>
        </w:trPr>
        <w:tc>
          <w:tcPr>
            <w:tcW w:w="15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E89164A">
            <w:pPr>
              <w:tabs>
                <w:tab w:val="left" w:pos="360"/>
                <w:tab w:val="left" w:pos="540"/>
              </w:tabs>
              <w:wordWrap w:val="0"/>
              <w:autoSpaceDN w:val="0"/>
              <w:spacing w:before="156" w:after="156"/>
              <w:jc w:val="center"/>
              <w:rPr>
                <w:rFonts w:hint="eastAsia" w:ascii="仿宋" w:hAnsi="仿宋" w:eastAsia="仿宋"/>
                <w:b/>
                <w:color w:val="000000"/>
                <w:szCs w:val="21"/>
              </w:rPr>
            </w:pPr>
          </w:p>
        </w:tc>
        <w:tc>
          <w:tcPr>
            <w:tcW w:w="7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C28FA6A">
            <w:pPr>
              <w:tabs>
                <w:tab w:val="left" w:pos="360"/>
                <w:tab w:val="left" w:pos="540"/>
              </w:tabs>
              <w:wordWrap w:val="0"/>
              <w:autoSpaceDN w:val="0"/>
              <w:rPr>
                <w:rFonts w:hint="eastAsia" w:ascii="仿宋" w:hAnsi="仿宋" w:eastAsia="仿宋"/>
                <w:b/>
                <w:color w:val="000000"/>
                <w:spacing w:val="-26"/>
                <w:szCs w:val="21"/>
              </w:rPr>
            </w:pPr>
          </w:p>
        </w:tc>
        <w:tc>
          <w:tcPr>
            <w:tcW w:w="106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B1B6CC7">
            <w:pPr>
              <w:tabs>
                <w:tab w:val="left" w:pos="360"/>
                <w:tab w:val="left" w:pos="540"/>
              </w:tabs>
              <w:wordWrap w:val="0"/>
              <w:autoSpaceDN w:val="0"/>
              <w:ind w:left="27"/>
              <w:jc w:val="center"/>
              <w:rPr>
                <w:rFonts w:hint="eastAsia" w:ascii="仿宋" w:hAnsi="仿宋" w:eastAsia="仿宋"/>
                <w:b/>
                <w:color w:val="000000"/>
                <w:szCs w:val="21"/>
              </w:rPr>
            </w:pPr>
          </w:p>
        </w:tc>
        <w:tc>
          <w:tcPr>
            <w:tcW w:w="1569" w:type="dxa"/>
            <w:gridSpan w:val="2"/>
            <w:tcBorders>
              <w:top w:val="single" w:color="000000" w:sz="4" w:space="0"/>
              <w:left w:val="single" w:color="000000" w:sz="4" w:space="0"/>
              <w:bottom w:val="single" w:color="000000" w:sz="4" w:space="0"/>
              <w:right w:val="single" w:color="000000" w:sz="4" w:space="0"/>
            </w:tcBorders>
            <w:vAlign w:val="center"/>
          </w:tcPr>
          <w:p w14:paraId="1628F7F2">
            <w:pPr>
              <w:tabs>
                <w:tab w:val="left" w:pos="360"/>
                <w:tab w:val="left" w:pos="540"/>
              </w:tabs>
              <w:wordWrap w:val="0"/>
              <w:autoSpaceDN w:val="0"/>
              <w:ind w:left="27"/>
              <w:jc w:val="center"/>
              <w:rPr>
                <w:rFonts w:hint="eastAsia" w:ascii="仿宋" w:hAnsi="仿宋" w:eastAsia="仿宋"/>
                <w:b/>
                <w:color w:val="000000"/>
                <w:szCs w:val="21"/>
              </w:rPr>
            </w:pPr>
          </w:p>
        </w:tc>
        <w:tc>
          <w:tcPr>
            <w:tcW w:w="1881" w:type="dxa"/>
            <w:gridSpan w:val="2"/>
            <w:tcBorders>
              <w:top w:val="single" w:color="000000" w:sz="4" w:space="0"/>
              <w:left w:val="single" w:color="000000" w:sz="4" w:space="0"/>
              <w:bottom w:val="single" w:color="000000" w:sz="4" w:space="0"/>
              <w:right w:val="single" w:color="000000" w:sz="4" w:space="0"/>
            </w:tcBorders>
            <w:vAlign w:val="center"/>
          </w:tcPr>
          <w:p w14:paraId="3CBCB6E3">
            <w:pPr>
              <w:tabs>
                <w:tab w:val="left" w:pos="360"/>
                <w:tab w:val="left" w:pos="540"/>
              </w:tabs>
              <w:wordWrap w:val="0"/>
              <w:autoSpaceDN w:val="0"/>
              <w:ind w:left="27"/>
              <w:jc w:val="center"/>
              <w:rPr>
                <w:rFonts w:hint="eastAsia" w:ascii="仿宋" w:hAnsi="仿宋" w:eastAsia="仿宋"/>
                <w:b/>
                <w:color w:val="000000"/>
                <w:szCs w:val="21"/>
              </w:rPr>
            </w:pPr>
          </w:p>
        </w:tc>
        <w:tc>
          <w:tcPr>
            <w:tcW w:w="2459" w:type="dxa"/>
            <w:gridSpan w:val="2"/>
            <w:tcBorders>
              <w:top w:val="single" w:color="000000" w:sz="4" w:space="0"/>
              <w:left w:val="single" w:color="000000" w:sz="4" w:space="0"/>
              <w:bottom w:val="single" w:color="000000" w:sz="4" w:space="0"/>
              <w:right w:val="single" w:color="000000" w:sz="4" w:space="0"/>
            </w:tcBorders>
            <w:vAlign w:val="center"/>
          </w:tcPr>
          <w:p w14:paraId="2EC0F03E">
            <w:pPr>
              <w:tabs>
                <w:tab w:val="left" w:pos="360"/>
                <w:tab w:val="left" w:pos="540"/>
              </w:tabs>
              <w:wordWrap w:val="0"/>
              <w:autoSpaceDN w:val="0"/>
              <w:ind w:left="27"/>
              <w:jc w:val="center"/>
              <w:rPr>
                <w:rFonts w:hint="eastAsia" w:ascii="仿宋" w:hAnsi="仿宋" w:eastAsia="仿宋"/>
                <w:b/>
                <w:color w:val="000000"/>
                <w:szCs w:val="21"/>
              </w:rPr>
            </w:pPr>
          </w:p>
        </w:tc>
      </w:tr>
      <w:tr w14:paraId="079D9367">
        <w:trPr>
          <w:trHeight w:val="616" w:hRule="atLeast"/>
        </w:trPr>
        <w:tc>
          <w:tcPr>
            <w:tcW w:w="15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F89A3B7">
            <w:pPr>
              <w:tabs>
                <w:tab w:val="left" w:pos="360"/>
                <w:tab w:val="left" w:pos="540"/>
              </w:tabs>
              <w:wordWrap w:val="0"/>
              <w:autoSpaceDN w:val="0"/>
              <w:spacing w:before="156" w:after="156"/>
              <w:jc w:val="center"/>
              <w:rPr>
                <w:rFonts w:hint="eastAsia" w:ascii="仿宋" w:hAnsi="仿宋" w:eastAsia="仿宋"/>
                <w:b/>
                <w:color w:val="000000"/>
                <w:szCs w:val="21"/>
              </w:rPr>
            </w:pPr>
          </w:p>
        </w:tc>
        <w:tc>
          <w:tcPr>
            <w:tcW w:w="7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E5AA87B">
            <w:pPr>
              <w:tabs>
                <w:tab w:val="left" w:pos="360"/>
                <w:tab w:val="left" w:pos="540"/>
              </w:tabs>
              <w:wordWrap w:val="0"/>
              <w:autoSpaceDN w:val="0"/>
              <w:rPr>
                <w:rFonts w:hint="eastAsia" w:ascii="仿宋" w:hAnsi="仿宋" w:eastAsia="仿宋"/>
                <w:b/>
                <w:color w:val="000000"/>
                <w:spacing w:val="-26"/>
                <w:szCs w:val="21"/>
              </w:rPr>
            </w:pPr>
          </w:p>
        </w:tc>
        <w:tc>
          <w:tcPr>
            <w:tcW w:w="106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6FE3A0B">
            <w:pPr>
              <w:tabs>
                <w:tab w:val="left" w:pos="360"/>
                <w:tab w:val="left" w:pos="540"/>
              </w:tabs>
              <w:wordWrap w:val="0"/>
              <w:autoSpaceDN w:val="0"/>
              <w:ind w:left="27"/>
              <w:jc w:val="center"/>
              <w:rPr>
                <w:rFonts w:hint="eastAsia" w:ascii="仿宋" w:hAnsi="仿宋" w:eastAsia="仿宋"/>
                <w:b/>
                <w:color w:val="000000"/>
                <w:szCs w:val="21"/>
              </w:rPr>
            </w:pPr>
          </w:p>
        </w:tc>
        <w:tc>
          <w:tcPr>
            <w:tcW w:w="1569" w:type="dxa"/>
            <w:gridSpan w:val="2"/>
            <w:tcBorders>
              <w:top w:val="single" w:color="000000" w:sz="4" w:space="0"/>
              <w:left w:val="single" w:color="000000" w:sz="4" w:space="0"/>
              <w:bottom w:val="single" w:color="000000" w:sz="4" w:space="0"/>
              <w:right w:val="single" w:color="000000" w:sz="4" w:space="0"/>
            </w:tcBorders>
            <w:vAlign w:val="center"/>
          </w:tcPr>
          <w:p w14:paraId="22059D27">
            <w:pPr>
              <w:tabs>
                <w:tab w:val="left" w:pos="360"/>
                <w:tab w:val="left" w:pos="540"/>
              </w:tabs>
              <w:wordWrap w:val="0"/>
              <w:autoSpaceDN w:val="0"/>
              <w:ind w:left="27"/>
              <w:jc w:val="center"/>
              <w:rPr>
                <w:rFonts w:hint="eastAsia" w:ascii="仿宋" w:hAnsi="仿宋" w:eastAsia="仿宋"/>
                <w:b/>
                <w:color w:val="000000"/>
                <w:szCs w:val="21"/>
              </w:rPr>
            </w:pPr>
          </w:p>
        </w:tc>
        <w:tc>
          <w:tcPr>
            <w:tcW w:w="1881" w:type="dxa"/>
            <w:gridSpan w:val="2"/>
            <w:tcBorders>
              <w:top w:val="single" w:color="000000" w:sz="4" w:space="0"/>
              <w:left w:val="single" w:color="000000" w:sz="4" w:space="0"/>
              <w:bottom w:val="single" w:color="000000" w:sz="4" w:space="0"/>
              <w:right w:val="single" w:color="000000" w:sz="4" w:space="0"/>
            </w:tcBorders>
            <w:vAlign w:val="center"/>
          </w:tcPr>
          <w:p w14:paraId="4C6A9CE3">
            <w:pPr>
              <w:tabs>
                <w:tab w:val="left" w:pos="360"/>
                <w:tab w:val="left" w:pos="540"/>
              </w:tabs>
              <w:wordWrap w:val="0"/>
              <w:autoSpaceDN w:val="0"/>
              <w:ind w:left="27"/>
              <w:jc w:val="center"/>
              <w:rPr>
                <w:rFonts w:hint="eastAsia" w:ascii="仿宋" w:hAnsi="仿宋" w:eastAsia="仿宋"/>
                <w:b/>
                <w:color w:val="000000"/>
                <w:szCs w:val="21"/>
              </w:rPr>
            </w:pPr>
          </w:p>
        </w:tc>
        <w:tc>
          <w:tcPr>
            <w:tcW w:w="2459" w:type="dxa"/>
            <w:gridSpan w:val="2"/>
            <w:tcBorders>
              <w:top w:val="single" w:color="000000" w:sz="4" w:space="0"/>
              <w:left w:val="single" w:color="000000" w:sz="4" w:space="0"/>
              <w:bottom w:val="single" w:color="000000" w:sz="4" w:space="0"/>
              <w:right w:val="single" w:color="000000" w:sz="4" w:space="0"/>
            </w:tcBorders>
            <w:vAlign w:val="center"/>
          </w:tcPr>
          <w:p w14:paraId="31118163">
            <w:pPr>
              <w:tabs>
                <w:tab w:val="left" w:pos="360"/>
                <w:tab w:val="left" w:pos="540"/>
              </w:tabs>
              <w:wordWrap w:val="0"/>
              <w:autoSpaceDN w:val="0"/>
              <w:ind w:left="27"/>
              <w:jc w:val="center"/>
              <w:rPr>
                <w:rFonts w:hint="eastAsia" w:ascii="仿宋" w:hAnsi="仿宋" w:eastAsia="仿宋"/>
                <w:b/>
                <w:color w:val="000000"/>
                <w:szCs w:val="21"/>
              </w:rPr>
            </w:pPr>
          </w:p>
        </w:tc>
      </w:tr>
      <w:tr w14:paraId="4AB3BD8A">
        <w:trPr>
          <w:trHeight w:val="616" w:hRule="atLeast"/>
        </w:trPr>
        <w:tc>
          <w:tcPr>
            <w:tcW w:w="15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32C8121">
            <w:pPr>
              <w:tabs>
                <w:tab w:val="left" w:pos="360"/>
                <w:tab w:val="left" w:pos="540"/>
              </w:tabs>
              <w:wordWrap w:val="0"/>
              <w:autoSpaceDN w:val="0"/>
              <w:spacing w:before="156" w:after="156"/>
              <w:jc w:val="center"/>
              <w:rPr>
                <w:rFonts w:hint="eastAsia" w:ascii="仿宋" w:hAnsi="仿宋" w:eastAsia="仿宋"/>
                <w:b/>
                <w:color w:val="000000"/>
                <w:szCs w:val="21"/>
              </w:rPr>
            </w:pPr>
          </w:p>
        </w:tc>
        <w:tc>
          <w:tcPr>
            <w:tcW w:w="7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D6296FF">
            <w:pPr>
              <w:tabs>
                <w:tab w:val="left" w:pos="360"/>
                <w:tab w:val="left" w:pos="540"/>
              </w:tabs>
              <w:wordWrap w:val="0"/>
              <w:autoSpaceDN w:val="0"/>
              <w:rPr>
                <w:rFonts w:hint="eastAsia" w:ascii="仿宋" w:hAnsi="仿宋" w:eastAsia="仿宋"/>
                <w:b/>
                <w:color w:val="000000"/>
                <w:spacing w:val="-26"/>
                <w:szCs w:val="21"/>
              </w:rPr>
            </w:pPr>
          </w:p>
        </w:tc>
        <w:tc>
          <w:tcPr>
            <w:tcW w:w="106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A477D77">
            <w:pPr>
              <w:tabs>
                <w:tab w:val="left" w:pos="360"/>
                <w:tab w:val="left" w:pos="540"/>
              </w:tabs>
              <w:wordWrap w:val="0"/>
              <w:autoSpaceDN w:val="0"/>
              <w:ind w:left="27"/>
              <w:jc w:val="center"/>
              <w:rPr>
                <w:rFonts w:hint="eastAsia" w:ascii="仿宋" w:hAnsi="仿宋" w:eastAsia="仿宋"/>
                <w:b/>
                <w:color w:val="000000"/>
                <w:szCs w:val="21"/>
              </w:rPr>
            </w:pPr>
          </w:p>
        </w:tc>
        <w:tc>
          <w:tcPr>
            <w:tcW w:w="1569" w:type="dxa"/>
            <w:gridSpan w:val="2"/>
            <w:tcBorders>
              <w:top w:val="single" w:color="000000" w:sz="4" w:space="0"/>
              <w:left w:val="single" w:color="000000" w:sz="4" w:space="0"/>
              <w:bottom w:val="single" w:color="000000" w:sz="4" w:space="0"/>
              <w:right w:val="single" w:color="000000" w:sz="4" w:space="0"/>
            </w:tcBorders>
            <w:vAlign w:val="center"/>
          </w:tcPr>
          <w:p w14:paraId="53A52D59">
            <w:pPr>
              <w:tabs>
                <w:tab w:val="left" w:pos="360"/>
                <w:tab w:val="left" w:pos="540"/>
              </w:tabs>
              <w:wordWrap w:val="0"/>
              <w:autoSpaceDN w:val="0"/>
              <w:ind w:left="27"/>
              <w:jc w:val="center"/>
              <w:rPr>
                <w:rFonts w:hint="eastAsia" w:ascii="仿宋" w:hAnsi="仿宋" w:eastAsia="仿宋"/>
                <w:b/>
                <w:color w:val="000000"/>
                <w:szCs w:val="21"/>
              </w:rPr>
            </w:pPr>
          </w:p>
        </w:tc>
        <w:tc>
          <w:tcPr>
            <w:tcW w:w="1881" w:type="dxa"/>
            <w:gridSpan w:val="2"/>
            <w:tcBorders>
              <w:top w:val="single" w:color="000000" w:sz="4" w:space="0"/>
              <w:left w:val="single" w:color="000000" w:sz="4" w:space="0"/>
              <w:bottom w:val="single" w:color="000000" w:sz="4" w:space="0"/>
              <w:right w:val="single" w:color="000000" w:sz="4" w:space="0"/>
            </w:tcBorders>
            <w:vAlign w:val="center"/>
          </w:tcPr>
          <w:p w14:paraId="02C9977D">
            <w:pPr>
              <w:tabs>
                <w:tab w:val="left" w:pos="360"/>
                <w:tab w:val="left" w:pos="540"/>
              </w:tabs>
              <w:wordWrap w:val="0"/>
              <w:autoSpaceDN w:val="0"/>
              <w:ind w:left="27"/>
              <w:jc w:val="center"/>
              <w:rPr>
                <w:rFonts w:hint="eastAsia" w:ascii="仿宋" w:hAnsi="仿宋" w:eastAsia="仿宋"/>
                <w:b/>
                <w:color w:val="000000"/>
                <w:szCs w:val="21"/>
              </w:rPr>
            </w:pPr>
          </w:p>
        </w:tc>
        <w:tc>
          <w:tcPr>
            <w:tcW w:w="2459" w:type="dxa"/>
            <w:gridSpan w:val="2"/>
            <w:tcBorders>
              <w:top w:val="single" w:color="000000" w:sz="4" w:space="0"/>
              <w:left w:val="single" w:color="000000" w:sz="4" w:space="0"/>
              <w:bottom w:val="single" w:color="000000" w:sz="4" w:space="0"/>
              <w:right w:val="single" w:color="000000" w:sz="4" w:space="0"/>
            </w:tcBorders>
            <w:vAlign w:val="center"/>
          </w:tcPr>
          <w:p w14:paraId="0AC535F5">
            <w:pPr>
              <w:tabs>
                <w:tab w:val="left" w:pos="360"/>
                <w:tab w:val="left" w:pos="540"/>
              </w:tabs>
              <w:wordWrap w:val="0"/>
              <w:autoSpaceDN w:val="0"/>
              <w:ind w:left="27"/>
              <w:jc w:val="center"/>
              <w:rPr>
                <w:rFonts w:hint="eastAsia" w:ascii="仿宋" w:hAnsi="仿宋" w:eastAsia="仿宋"/>
                <w:b/>
                <w:color w:val="000000"/>
                <w:szCs w:val="21"/>
              </w:rPr>
            </w:pPr>
          </w:p>
        </w:tc>
      </w:tr>
      <w:tr w14:paraId="5CD453CA">
        <w:trPr>
          <w:trHeight w:val="616" w:hRule="atLeast"/>
        </w:trPr>
        <w:tc>
          <w:tcPr>
            <w:tcW w:w="15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C7B372E">
            <w:pPr>
              <w:tabs>
                <w:tab w:val="left" w:pos="360"/>
                <w:tab w:val="left" w:pos="540"/>
              </w:tabs>
              <w:wordWrap w:val="0"/>
              <w:autoSpaceDN w:val="0"/>
              <w:spacing w:before="156" w:after="156"/>
              <w:jc w:val="center"/>
              <w:rPr>
                <w:rFonts w:hint="eastAsia" w:ascii="仿宋" w:hAnsi="仿宋" w:eastAsia="仿宋"/>
                <w:b/>
                <w:color w:val="000000"/>
                <w:szCs w:val="21"/>
              </w:rPr>
            </w:pPr>
          </w:p>
        </w:tc>
        <w:tc>
          <w:tcPr>
            <w:tcW w:w="7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E00CB62">
            <w:pPr>
              <w:tabs>
                <w:tab w:val="left" w:pos="360"/>
                <w:tab w:val="left" w:pos="540"/>
              </w:tabs>
              <w:wordWrap w:val="0"/>
              <w:autoSpaceDN w:val="0"/>
              <w:rPr>
                <w:rFonts w:hint="eastAsia" w:ascii="仿宋" w:hAnsi="仿宋" w:eastAsia="仿宋"/>
                <w:b/>
                <w:color w:val="000000"/>
                <w:spacing w:val="-26"/>
                <w:szCs w:val="21"/>
              </w:rPr>
            </w:pPr>
          </w:p>
        </w:tc>
        <w:tc>
          <w:tcPr>
            <w:tcW w:w="106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F874931">
            <w:pPr>
              <w:tabs>
                <w:tab w:val="left" w:pos="360"/>
                <w:tab w:val="left" w:pos="540"/>
              </w:tabs>
              <w:wordWrap w:val="0"/>
              <w:autoSpaceDN w:val="0"/>
              <w:ind w:left="27"/>
              <w:jc w:val="center"/>
              <w:rPr>
                <w:rFonts w:hint="eastAsia" w:ascii="仿宋" w:hAnsi="仿宋" w:eastAsia="仿宋"/>
                <w:b/>
                <w:color w:val="000000"/>
                <w:szCs w:val="21"/>
              </w:rPr>
            </w:pPr>
          </w:p>
        </w:tc>
        <w:tc>
          <w:tcPr>
            <w:tcW w:w="1569" w:type="dxa"/>
            <w:gridSpan w:val="2"/>
            <w:tcBorders>
              <w:top w:val="single" w:color="000000" w:sz="4" w:space="0"/>
              <w:left w:val="single" w:color="000000" w:sz="4" w:space="0"/>
              <w:bottom w:val="single" w:color="000000" w:sz="4" w:space="0"/>
              <w:right w:val="single" w:color="000000" w:sz="4" w:space="0"/>
            </w:tcBorders>
            <w:vAlign w:val="center"/>
          </w:tcPr>
          <w:p w14:paraId="540FA76E">
            <w:pPr>
              <w:tabs>
                <w:tab w:val="left" w:pos="360"/>
                <w:tab w:val="left" w:pos="540"/>
              </w:tabs>
              <w:wordWrap w:val="0"/>
              <w:autoSpaceDN w:val="0"/>
              <w:ind w:left="27"/>
              <w:jc w:val="center"/>
              <w:rPr>
                <w:rFonts w:hint="eastAsia" w:ascii="仿宋" w:hAnsi="仿宋" w:eastAsia="仿宋"/>
                <w:b/>
                <w:color w:val="000000"/>
                <w:szCs w:val="21"/>
              </w:rPr>
            </w:pPr>
          </w:p>
        </w:tc>
        <w:tc>
          <w:tcPr>
            <w:tcW w:w="1881" w:type="dxa"/>
            <w:gridSpan w:val="2"/>
            <w:tcBorders>
              <w:top w:val="single" w:color="000000" w:sz="4" w:space="0"/>
              <w:left w:val="single" w:color="000000" w:sz="4" w:space="0"/>
              <w:bottom w:val="single" w:color="000000" w:sz="4" w:space="0"/>
              <w:right w:val="single" w:color="000000" w:sz="4" w:space="0"/>
            </w:tcBorders>
            <w:vAlign w:val="center"/>
          </w:tcPr>
          <w:p w14:paraId="7796FD80">
            <w:pPr>
              <w:tabs>
                <w:tab w:val="left" w:pos="360"/>
                <w:tab w:val="left" w:pos="540"/>
              </w:tabs>
              <w:wordWrap w:val="0"/>
              <w:autoSpaceDN w:val="0"/>
              <w:ind w:left="27"/>
              <w:jc w:val="center"/>
              <w:rPr>
                <w:rFonts w:hint="eastAsia" w:ascii="仿宋" w:hAnsi="仿宋" w:eastAsia="仿宋"/>
                <w:b/>
                <w:color w:val="000000"/>
                <w:szCs w:val="21"/>
              </w:rPr>
            </w:pPr>
          </w:p>
        </w:tc>
        <w:tc>
          <w:tcPr>
            <w:tcW w:w="2459" w:type="dxa"/>
            <w:gridSpan w:val="2"/>
            <w:tcBorders>
              <w:top w:val="single" w:color="000000" w:sz="4" w:space="0"/>
              <w:left w:val="single" w:color="000000" w:sz="4" w:space="0"/>
              <w:bottom w:val="single" w:color="000000" w:sz="4" w:space="0"/>
              <w:right w:val="single" w:color="000000" w:sz="4" w:space="0"/>
            </w:tcBorders>
            <w:vAlign w:val="center"/>
          </w:tcPr>
          <w:p w14:paraId="76880FD5">
            <w:pPr>
              <w:tabs>
                <w:tab w:val="left" w:pos="360"/>
                <w:tab w:val="left" w:pos="540"/>
              </w:tabs>
              <w:wordWrap w:val="0"/>
              <w:autoSpaceDN w:val="0"/>
              <w:ind w:left="27"/>
              <w:jc w:val="center"/>
              <w:rPr>
                <w:rFonts w:hint="eastAsia" w:ascii="仿宋" w:hAnsi="仿宋" w:eastAsia="仿宋"/>
                <w:b/>
                <w:color w:val="000000"/>
                <w:szCs w:val="21"/>
              </w:rPr>
            </w:pPr>
          </w:p>
        </w:tc>
      </w:tr>
      <w:tr w14:paraId="6D9BB60E">
        <w:trPr>
          <w:trHeight w:val="1296" w:hRule="atLeast"/>
        </w:trPr>
        <w:tc>
          <w:tcPr>
            <w:tcW w:w="4490"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89F5E7F">
            <w:pPr>
              <w:tabs>
                <w:tab w:val="left" w:pos="360"/>
                <w:tab w:val="left" w:pos="540"/>
              </w:tabs>
              <w:wordWrap w:val="0"/>
              <w:autoSpaceDN w:val="0"/>
              <w:rPr>
                <w:rFonts w:hint="eastAsia" w:ascii="宋体" w:hAnsi="宋体"/>
                <w:b/>
                <w:color w:val="000000"/>
                <w:szCs w:val="21"/>
              </w:rPr>
            </w:pPr>
            <w:r>
              <w:rPr>
                <w:rFonts w:hint="eastAsia" w:ascii="宋体" w:hAnsi="宋体"/>
                <w:b/>
                <w:color w:val="000000"/>
                <w:szCs w:val="21"/>
              </w:rPr>
              <w:t>报名程序：</w:t>
            </w:r>
          </w:p>
          <w:p w14:paraId="74F92079">
            <w:pPr>
              <w:tabs>
                <w:tab w:val="left" w:pos="360"/>
                <w:tab w:val="left" w:pos="540"/>
              </w:tabs>
              <w:autoSpaceDN w:val="0"/>
              <w:ind w:left="27"/>
              <w:jc w:val="left"/>
              <w:rPr>
                <w:rFonts w:hint="eastAsia" w:ascii="宋体" w:hAnsi="宋体"/>
                <w:bCs/>
                <w:color w:val="000000"/>
                <w:szCs w:val="21"/>
              </w:rPr>
            </w:pPr>
            <w:r>
              <w:rPr>
                <w:rFonts w:hint="eastAsia" w:ascii="宋体" w:hAnsi="宋体"/>
                <w:bCs/>
                <w:color w:val="000000"/>
                <w:szCs w:val="21"/>
              </w:rPr>
              <w:t>培训费支付：刷卡/支付宝/微信/汇款，其中院外培训不支持刷卡。食宿费现场交纳。</w:t>
            </w:r>
          </w:p>
        </w:tc>
        <w:tc>
          <w:tcPr>
            <w:tcW w:w="4807"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45FC935">
            <w:pPr>
              <w:tabs>
                <w:tab w:val="left" w:pos="360"/>
                <w:tab w:val="left" w:pos="540"/>
              </w:tabs>
              <w:wordWrap w:val="0"/>
              <w:autoSpaceDN w:val="0"/>
              <w:rPr>
                <w:rFonts w:hint="eastAsia" w:ascii="宋体" w:hAnsi="宋体"/>
                <w:b/>
                <w:color w:val="000000"/>
                <w:szCs w:val="21"/>
              </w:rPr>
            </w:pPr>
            <w:r>
              <w:rPr>
                <w:rFonts w:hint="eastAsia" w:ascii="宋体" w:hAnsi="宋体"/>
                <w:b/>
                <w:color w:val="000000"/>
                <w:szCs w:val="21"/>
              </w:rPr>
              <w:t>学院账户：</w:t>
            </w:r>
          </w:p>
          <w:p w14:paraId="39B6A47C">
            <w:pPr>
              <w:tabs>
                <w:tab w:val="left" w:pos="360"/>
                <w:tab w:val="left" w:pos="540"/>
              </w:tabs>
              <w:wordWrap w:val="0"/>
              <w:autoSpaceDN w:val="0"/>
              <w:rPr>
                <w:rFonts w:hint="eastAsia" w:ascii="宋体" w:hAnsi="宋体"/>
                <w:bCs/>
                <w:color w:val="000000"/>
                <w:szCs w:val="21"/>
              </w:rPr>
            </w:pPr>
            <w:r>
              <w:rPr>
                <w:rFonts w:hint="eastAsia" w:ascii="宋体" w:hAnsi="宋体"/>
                <w:bCs/>
                <w:color w:val="000000"/>
                <w:szCs w:val="21"/>
              </w:rPr>
              <w:t>学院开户行：中国建设银行上海徐泾支行</w:t>
            </w:r>
          </w:p>
          <w:p w14:paraId="2ED105A9">
            <w:pPr>
              <w:tabs>
                <w:tab w:val="left" w:pos="360"/>
                <w:tab w:val="left" w:pos="540"/>
              </w:tabs>
              <w:wordWrap w:val="0"/>
              <w:autoSpaceDN w:val="0"/>
              <w:rPr>
                <w:rFonts w:hint="eastAsia" w:ascii="宋体" w:hAnsi="宋体"/>
                <w:bCs/>
                <w:color w:val="000000"/>
                <w:szCs w:val="21"/>
              </w:rPr>
            </w:pPr>
            <w:r>
              <w:rPr>
                <w:rFonts w:hint="eastAsia" w:ascii="宋体" w:hAnsi="宋体"/>
                <w:bCs/>
                <w:color w:val="000000"/>
                <w:szCs w:val="21"/>
              </w:rPr>
              <w:t>单位名称：上海国家会计学院</w:t>
            </w:r>
          </w:p>
          <w:p w14:paraId="23D2EB5B">
            <w:pPr>
              <w:tabs>
                <w:tab w:val="left" w:pos="360"/>
                <w:tab w:val="left" w:pos="540"/>
              </w:tabs>
              <w:wordWrap w:val="0"/>
              <w:autoSpaceDN w:val="0"/>
              <w:rPr>
                <w:rFonts w:hint="eastAsia" w:ascii="宋体" w:hAnsi="宋体"/>
                <w:b/>
                <w:color w:val="000000"/>
                <w:szCs w:val="21"/>
              </w:rPr>
            </w:pPr>
            <w:r>
              <w:rPr>
                <w:rFonts w:hint="eastAsia" w:ascii="宋体" w:hAnsi="宋体"/>
                <w:bCs/>
                <w:color w:val="000000"/>
                <w:szCs w:val="21"/>
              </w:rPr>
              <w:t>汇款账号：31001984300059768088</w:t>
            </w:r>
          </w:p>
        </w:tc>
      </w:tr>
    </w:tbl>
    <w:p w14:paraId="2CC9F005">
      <w:pPr>
        <w:rPr>
          <w:rFonts w:hint="eastAsia"/>
        </w:rPr>
      </w:pPr>
    </w:p>
    <w:p w14:paraId="5A09C562">
      <w:pPr>
        <w:widowControl/>
        <w:tabs>
          <w:tab w:val="center" w:pos="4766"/>
          <w:tab w:val="left" w:pos="6716"/>
        </w:tabs>
        <w:spacing w:line="480" w:lineRule="exact"/>
        <w:jc w:val="center"/>
        <w:rPr>
          <w:rFonts w:hint="eastAsia" w:ascii="宋体" w:hAnsi="宋体" w:eastAsia="宋体"/>
          <w:b/>
          <w:bCs/>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Kaiti SC">
    <w:panose1 w:val="02010600040101010101"/>
    <w:charset w:val="86"/>
    <w:family w:val="auto"/>
    <w:pitch w:val="default"/>
    <w:sig w:usb0="80000287" w:usb1="280F3C52" w:usb2="00000016" w:usb3="00000000" w:csb0="0004001F" w:csb1="00000000"/>
  </w:font>
  <w:font w:name="楷体">
    <w:altName w:val="汉仪楷体KW"/>
    <w:panose1 w:val="02010609060101010101"/>
    <w:charset w:val="86"/>
    <w:family w:val="modern"/>
    <w:pitch w:val="default"/>
    <w:sig w:usb0="00000000" w:usb1="00000000" w:usb2="00000016" w:usb3="00000000" w:csb0="00040001" w:csb1="00000000"/>
  </w:font>
  <w:font w:name="Songti SC">
    <w:panose1 w:val="02010800040101010101"/>
    <w:charset w:val="86"/>
    <w:family w:val="auto"/>
    <w:pitch w:val="default"/>
    <w:sig w:usb0="00000001" w:usb1="080F0000" w:usb2="00000000" w:usb3="00000000" w:csb0="00040000" w:csb1="00000000"/>
  </w:font>
  <w:font w:name="微软雅黑">
    <w:altName w:val="汉仪旗黑"/>
    <w:panose1 w:val="020B0503020204020204"/>
    <w:charset w:val="86"/>
    <w:family w:val="swiss"/>
    <w:pitch w:val="default"/>
    <w:sig w:usb0="00000000" w:usb1="00000000" w:usb2="00000016" w:usb3="00000000" w:csb0="0004001F"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汉仪中黑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 w:name="汉仪旗黑">
    <w:panose1 w:val="00020600040101010101"/>
    <w:charset w:val="86"/>
    <w:family w:val="auto"/>
    <w:pitch w:val="default"/>
    <w:sig w:usb0="A00002BF" w:usb1="1ACF7CFA" w:usb2="00000016" w:usb3="00000000" w:csb0="0004009F" w:csb1="DFD7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193"/>
    <w:rsid w:val="00013A7F"/>
    <w:rsid w:val="00022F9B"/>
    <w:rsid w:val="00034845"/>
    <w:rsid w:val="000409CF"/>
    <w:rsid w:val="00041C2C"/>
    <w:rsid w:val="00051AF9"/>
    <w:rsid w:val="00056DE8"/>
    <w:rsid w:val="000625F4"/>
    <w:rsid w:val="00062ACA"/>
    <w:rsid w:val="00066D3F"/>
    <w:rsid w:val="00067A7E"/>
    <w:rsid w:val="00081FEF"/>
    <w:rsid w:val="000915B2"/>
    <w:rsid w:val="000920EA"/>
    <w:rsid w:val="000A3166"/>
    <w:rsid w:val="000A457B"/>
    <w:rsid w:val="000C7999"/>
    <w:rsid w:val="000D23A6"/>
    <w:rsid w:val="000F00F2"/>
    <w:rsid w:val="00122792"/>
    <w:rsid w:val="00135D5A"/>
    <w:rsid w:val="001444B5"/>
    <w:rsid w:val="00192694"/>
    <w:rsid w:val="001A29DB"/>
    <w:rsid w:val="001A3297"/>
    <w:rsid w:val="001A77D4"/>
    <w:rsid w:val="001A7801"/>
    <w:rsid w:val="001B59C7"/>
    <w:rsid w:val="001C1402"/>
    <w:rsid w:val="001C2BCB"/>
    <w:rsid w:val="001E4AB6"/>
    <w:rsid w:val="001F3A53"/>
    <w:rsid w:val="001F4A75"/>
    <w:rsid w:val="0020791F"/>
    <w:rsid w:val="0021666B"/>
    <w:rsid w:val="00241C3B"/>
    <w:rsid w:val="00241CE5"/>
    <w:rsid w:val="00242032"/>
    <w:rsid w:val="00245BB6"/>
    <w:rsid w:val="0025458E"/>
    <w:rsid w:val="0025496C"/>
    <w:rsid w:val="002628C4"/>
    <w:rsid w:val="00262ACD"/>
    <w:rsid w:val="00291278"/>
    <w:rsid w:val="002A1100"/>
    <w:rsid w:val="002B1033"/>
    <w:rsid w:val="002B64F1"/>
    <w:rsid w:val="002C0FC5"/>
    <w:rsid w:val="002D0121"/>
    <w:rsid w:val="002D2C41"/>
    <w:rsid w:val="00300F17"/>
    <w:rsid w:val="0030581B"/>
    <w:rsid w:val="0031738B"/>
    <w:rsid w:val="0031764E"/>
    <w:rsid w:val="00352DEC"/>
    <w:rsid w:val="00355D43"/>
    <w:rsid w:val="003774E1"/>
    <w:rsid w:val="00394036"/>
    <w:rsid w:val="003A31DF"/>
    <w:rsid w:val="003A3AF6"/>
    <w:rsid w:val="003B759F"/>
    <w:rsid w:val="003B76B0"/>
    <w:rsid w:val="003C42C5"/>
    <w:rsid w:val="003C6886"/>
    <w:rsid w:val="003D41CA"/>
    <w:rsid w:val="003D46EE"/>
    <w:rsid w:val="003F3C73"/>
    <w:rsid w:val="00434790"/>
    <w:rsid w:val="0045107F"/>
    <w:rsid w:val="00461D24"/>
    <w:rsid w:val="004771E2"/>
    <w:rsid w:val="004947B0"/>
    <w:rsid w:val="004A281F"/>
    <w:rsid w:val="004B0BBE"/>
    <w:rsid w:val="004B41CC"/>
    <w:rsid w:val="004C2BA4"/>
    <w:rsid w:val="004D2E98"/>
    <w:rsid w:val="004E42E4"/>
    <w:rsid w:val="004F1993"/>
    <w:rsid w:val="004F1C84"/>
    <w:rsid w:val="004F43E0"/>
    <w:rsid w:val="005053B9"/>
    <w:rsid w:val="00510A31"/>
    <w:rsid w:val="00522719"/>
    <w:rsid w:val="00540EA2"/>
    <w:rsid w:val="0054240F"/>
    <w:rsid w:val="0054796A"/>
    <w:rsid w:val="005675AB"/>
    <w:rsid w:val="005910AA"/>
    <w:rsid w:val="0059117E"/>
    <w:rsid w:val="005957E0"/>
    <w:rsid w:val="005A0A8E"/>
    <w:rsid w:val="005B1943"/>
    <w:rsid w:val="005B6827"/>
    <w:rsid w:val="005B691D"/>
    <w:rsid w:val="005C5FAA"/>
    <w:rsid w:val="005D4A6F"/>
    <w:rsid w:val="005E2260"/>
    <w:rsid w:val="005F1208"/>
    <w:rsid w:val="005F2A39"/>
    <w:rsid w:val="005F4838"/>
    <w:rsid w:val="005F4F93"/>
    <w:rsid w:val="006106FF"/>
    <w:rsid w:val="00621202"/>
    <w:rsid w:val="006238DE"/>
    <w:rsid w:val="00623E35"/>
    <w:rsid w:val="00630D67"/>
    <w:rsid w:val="006541E4"/>
    <w:rsid w:val="00672FB6"/>
    <w:rsid w:val="0067620C"/>
    <w:rsid w:val="006845A4"/>
    <w:rsid w:val="00684EAE"/>
    <w:rsid w:val="00697B2D"/>
    <w:rsid w:val="006A0B3B"/>
    <w:rsid w:val="006A184E"/>
    <w:rsid w:val="006B72DE"/>
    <w:rsid w:val="006C10CD"/>
    <w:rsid w:val="006D0EE8"/>
    <w:rsid w:val="00715FFF"/>
    <w:rsid w:val="00722016"/>
    <w:rsid w:val="00724287"/>
    <w:rsid w:val="0073611D"/>
    <w:rsid w:val="00736FE4"/>
    <w:rsid w:val="00737D35"/>
    <w:rsid w:val="00746859"/>
    <w:rsid w:val="007629CF"/>
    <w:rsid w:val="0076634A"/>
    <w:rsid w:val="00775D5E"/>
    <w:rsid w:val="00794C26"/>
    <w:rsid w:val="007A5763"/>
    <w:rsid w:val="007B2045"/>
    <w:rsid w:val="007E17A8"/>
    <w:rsid w:val="008024BF"/>
    <w:rsid w:val="00810AB6"/>
    <w:rsid w:val="008129C5"/>
    <w:rsid w:val="00822FE5"/>
    <w:rsid w:val="00827CF1"/>
    <w:rsid w:val="00833466"/>
    <w:rsid w:val="00840660"/>
    <w:rsid w:val="0085745E"/>
    <w:rsid w:val="00880139"/>
    <w:rsid w:val="008808D5"/>
    <w:rsid w:val="00890F1B"/>
    <w:rsid w:val="00892E2B"/>
    <w:rsid w:val="008A298E"/>
    <w:rsid w:val="008A59A0"/>
    <w:rsid w:val="008B3215"/>
    <w:rsid w:val="008D1E59"/>
    <w:rsid w:val="008D5D3D"/>
    <w:rsid w:val="008E3BC6"/>
    <w:rsid w:val="008F18BE"/>
    <w:rsid w:val="009032A4"/>
    <w:rsid w:val="009322DB"/>
    <w:rsid w:val="00951E9A"/>
    <w:rsid w:val="00954CFD"/>
    <w:rsid w:val="00962F4F"/>
    <w:rsid w:val="00973B85"/>
    <w:rsid w:val="0098114C"/>
    <w:rsid w:val="009959DF"/>
    <w:rsid w:val="009A29E0"/>
    <w:rsid w:val="009A3726"/>
    <w:rsid w:val="009A7BC0"/>
    <w:rsid w:val="009C24DD"/>
    <w:rsid w:val="009D2F9D"/>
    <w:rsid w:val="00A0599E"/>
    <w:rsid w:val="00A2166F"/>
    <w:rsid w:val="00A22898"/>
    <w:rsid w:val="00A3224A"/>
    <w:rsid w:val="00A41193"/>
    <w:rsid w:val="00A46911"/>
    <w:rsid w:val="00A54459"/>
    <w:rsid w:val="00A6464D"/>
    <w:rsid w:val="00A6661C"/>
    <w:rsid w:val="00A72311"/>
    <w:rsid w:val="00A8429F"/>
    <w:rsid w:val="00A9152B"/>
    <w:rsid w:val="00AA17DE"/>
    <w:rsid w:val="00AB0C73"/>
    <w:rsid w:val="00AB10FD"/>
    <w:rsid w:val="00AB3F76"/>
    <w:rsid w:val="00AB67E8"/>
    <w:rsid w:val="00AB6F01"/>
    <w:rsid w:val="00AC02B5"/>
    <w:rsid w:val="00AC08B6"/>
    <w:rsid w:val="00AC0C8E"/>
    <w:rsid w:val="00AD1498"/>
    <w:rsid w:val="00AE2305"/>
    <w:rsid w:val="00B01877"/>
    <w:rsid w:val="00B074EA"/>
    <w:rsid w:val="00B1361A"/>
    <w:rsid w:val="00B14B95"/>
    <w:rsid w:val="00B400AA"/>
    <w:rsid w:val="00B40ADD"/>
    <w:rsid w:val="00B41E1B"/>
    <w:rsid w:val="00B46965"/>
    <w:rsid w:val="00B53CE1"/>
    <w:rsid w:val="00B618DE"/>
    <w:rsid w:val="00B62AAC"/>
    <w:rsid w:val="00B773C3"/>
    <w:rsid w:val="00BA2EE8"/>
    <w:rsid w:val="00BB1148"/>
    <w:rsid w:val="00BD5B11"/>
    <w:rsid w:val="00C02C70"/>
    <w:rsid w:val="00C37EB5"/>
    <w:rsid w:val="00C44D03"/>
    <w:rsid w:val="00C6097F"/>
    <w:rsid w:val="00C6693F"/>
    <w:rsid w:val="00C73D46"/>
    <w:rsid w:val="00C81EAB"/>
    <w:rsid w:val="00C84D4C"/>
    <w:rsid w:val="00C84DF2"/>
    <w:rsid w:val="00CA13A5"/>
    <w:rsid w:val="00CC5712"/>
    <w:rsid w:val="00CE51D1"/>
    <w:rsid w:val="00CF1816"/>
    <w:rsid w:val="00CF6C15"/>
    <w:rsid w:val="00D02A68"/>
    <w:rsid w:val="00D073DE"/>
    <w:rsid w:val="00D2546A"/>
    <w:rsid w:val="00D2717D"/>
    <w:rsid w:val="00D31062"/>
    <w:rsid w:val="00D34D0E"/>
    <w:rsid w:val="00D37123"/>
    <w:rsid w:val="00D4121C"/>
    <w:rsid w:val="00D4195F"/>
    <w:rsid w:val="00D500D6"/>
    <w:rsid w:val="00D579F9"/>
    <w:rsid w:val="00D6157F"/>
    <w:rsid w:val="00D67C36"/>
    <w:rsid w:val="00D87342"/>
    <w:rsid w:val="00D87426"/>
    <w:rsid w:val="00DA1312"/>
    <w:rsid w:val="00DA6E78"/>
    <w:rsid w:val="00DB5B46"/>
    <w:rsid w:val="00DB7F94"/>
    <w:rsid w:val="00DE31EF"/>
    <w:rsid w:val="00DE5DCA"/>
    <w:rsid w:val="00DF02E9"/>
    <w:rsid w:val="00E10AE5"/>
    <w:rsid w:val="00E179C5"/>
    <w:rsid w:val="00E370C2"/>
    <w:rsid w:val="00E97F1B"/>
    <w:rsid w:val="00EB53E1"/>
    <w:rsid w:val="00EB713A"/>
    <w:rsid w:val="00EC79BF"/>
    <w:rsid w:val="00EE7314"/>
    <w:rsid w:val="00EF0751"/>
    <w:rsid w:val="00EF68BE"/>
    <w:rsid w:val="00F16A77"/>
    <w:rsid w:val="00F23961"/>
    <w:rsid w:val="00F8564A"/>
    <w:rsid w:val="00F86CA3"/>
    <w:rsid w:val="00F871CC"/>
    <w:rsid w:val="00F9566D"/>
    <w:rsid w:val="00F97596"/>
    <w:rsid w:val="00FA3AAB"/>
    <w:rsid w:val="00FB3DD4"/>
    <w:rsid w:val="00FD3114"/>
    <w:rsid w:val="00FF093E"/>
    <w:rsid w:val="00FF6661"/>
    <w:rsid w:val="00FF7825"/>
    <w:rsid w:val="0AEF55ED"/>
    <w:rsid w:val="0B7747D3"/>
    <w:rsid w:val="113027C8"/>
    <w:rsid w:val="16476FDC"/>
    <w:rsid w:val="19955310"/>
    <w:rsid w:val="19F708C6"/>
    <w:rsid w:val="25A16A1E"/>
    <w:rsid w:val="2934005A"/>
    <w:rsid w:val="334F1189"/>
    <w:rsid w:val="36AC7367"/>
    <w:rsid w:val="37AF3E4C"/>
    <w:rsid w:val="396C6D10"/>
    <w:rsid w:val="3BDD1251"/>
    <w:rsid w:val="5840143B"/>
    <w:rsid w:val="5E9B7F2D"/>
    <w:rsid w:val="5F7764B0"/>
    <w:rsid w:val="626B0D43"/>
    <w:rsid w:val="64BFA981"/>
    <w:rsid w:val="66FE71C2"/>
    <w:rsid w:val="6C987F7E"/>
    <w:rsid w:val="6E8E18C3"/>
    <w:rsid w:val="6EC14FC1"/>
    <w:rsid w:val="718D3B55"/>
    <w:rsid w:val="75F2361E"/>
    <w:rsid w:val="76056F12"/>
    <w:rsid w:val="78C3334F"/>
    <w:rsid w:val="79CB62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Autospacing="1" w:afterAutospacing="1"/>
      <w:jc w:val="left"/>
    </w:pPr>
    <w:rPr>
      <w:rFonts w:cs="Times New Roman"/>
      <w:kern w:val="0"/>
      <w:sz w:val="24"/>
    </w:rPr>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paragraph" w:styleId="11">
    <w:name w:val="List Paragraph"/>
    <w:basedOn w:val="1"/>
    <w:qFormat/>
    <w:uiPriority w:val="34"/>
    <w:pPr>
      <w:ind w:firstLine="420" w:firstLineChars="200"/>
    </w:pPr>
  </w:style>
  <w:style w:type="paragraph" w:styleId="12">
    <w:name w:val="No Spacing"/>
    <w:link w:val="15"/>
    <w:qFormat/>
    <w:uiPriority w:val="1"/>
    <w:pPr>
      <w:widowControl w:val="0"/>
      <w:jc w:val="both"/>
    </w:pPr>
    <w:rPr>
      <w:rFonts w:ascii="Calibri" w:hAnsi="Calibri" w:eastAsia="宋体" w:cs="Times New Roman"/>
      <w:kern w:val="2"/>
      <w:sz w:val="21"/>
      <w:szCs w:val="22"/>
      <w:lang w:val="en-US" w:eastAsia="zh-CN" w:bidi="ar-SA"/>
    </w:rPr>
  </w:style>
  <w:style w:type="character" w:customStyle="1" w:styleId="13">
    <w:name w:val="批注框文本 字符"/>
    <w:basedOn w:val="7"/>
    <w:link w:val="2"/>
    <w:semiHidden/>
    <w:qFormat/>
    <w:uiPriority w:val="99"/>
    <w:rPr>
      <w:kern w:val="2"/>
      <w:sz w:val="18"/>
      <w:szCs w:val="18"/>
    </w:rPr>
  </w:style>
  <w:style w:type="paragraph" w:customStyle="1" w:styleId="14">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5">
    <w:name w:val="无间隔 字符"/>
    <w:link w:val="12"/>
    <w:qFormat/>
    <w:uiPriority w:val="1"/>
    <w:rPr>
      <w:rFonts w:ascii="Calibri" w:hAnsi="Calibri"/>
      <w:kern w:val="2"/>
      <w:sz w:val="21"/>
      <w:szCs w:val="22"/>
    </w:rPr>
  </w:style>
  <w:style w:type="paragraph" w:customStyle="1" w:styleId="16">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7">
    <w:name w:val="Unresolved Mention"/>
    <w:basedOn w:val="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2209</Words>
  <Characters>2392</Characters>
  <Lines>27</Lines>
  <Paragraphs>7</Paragraphs>
  <TotalTime>2</TotalTime>
  <ScaleCrop>false</ScaleCrop>
  <LinksUpToDate>false</LinksUpToDate>
  <CharactersWithSpaces>2409</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2025-05-08T22:31:00Z</dcterms:created>
  <dc:creator>huang dong'gen</dc:creator>
  <cp:lastModifiedBy>Daydream</cp:lastModifiedBy>
  <cp:lastPrinted>2025-05-21T09:03:00Z</cp:lastPrinted>
  <dcterms:modified xsi:type="dcterms:W3CDTF">2025-09-26T10:36:34Z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37B9DF7B9F2548F29B816A4D4A67D4D2_13</vt:lpwstr>
  </property>
  <property fmtid="{D5CDD505-2E9C-101B-9397-08002B2CF9AE}" pid="4" name="KSOTemplateDocerSaveRecord">
    <vt:lpwstr>eyJoZGlkIjoiZjBkNjhhZGM5NGVhNGYzZGQ0MTNiNWM2NTgxNzBlY2YiLCJ1c2VySWQiOiIxNDczNTgxMzkxIn0=</vt:lpwstr>
  </property>
</Properties>
</file>