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18F21">
      <w:pPr>
        <w:spacing w:line="360" w:lineRule="auto"/>
        <w:jc w:val="center"/>
        <w:rPr>
          <w:b/>
          <w:sz w:val="96"/>
          <w:szCs w:val="96"/>
        </w:rPr>
      </w:pPr>
    </w:p>
    <w:p w14:paraId="28ECCAF8">
      <w:pPr>
        <w:spacing w:line="360" w:lineRule="auto"/>
        <w:jc w:val="center"/>
        <w:rPr>
          <w:rFonts w:ascii="宋体" w:hAnsi="宋体" w:eastAsia="宋体"/>
          <w:b/>
          <w:bCs/>
          <w:color w:val="FF3300"/>
          <w:spacing w:val="-40"/>
          <w:sz w:val="84"/>
          <w:szCs w:val="84"/>
        </w:rPr>
      </w:pPr>
      <w:r>
        <w:rPr>
          <w:rFonts w:hint="eastAsia" w:ascii="宋体" w:hAnsi="宋体" w:eastAsia="宋体"/>
          <w:b/>
          <w:bCs/>
          <w:color w:val="FF3300"/>
          <w:spacing w:val="-40"/>
          <w:sz w:val="84"/>
          <w:szCs w:val="84"/>
        </w:rPr>
        <w:t>上海国家会计学院</w:t>
      </w:r>
    </w:p>
    <w:p w14:paraId="1F3347BD">
      <w:pPr>
        <w:spacing w:line="360" w:lineRule="auto"/>
        <w:jc w:val="center"/>
        <w:rPr>
          <w:rFonts w:ascii="宋体" w:hAnsi="宋体" w:eastAsia="宋体" w:cs="微软雅黑"/>
          <w:bCs/>
          <w:sz w:val="32"/>
          <w:szCs w:val="32"/>
        </w:rPr>
      </w:pPr>
      <w:r>
        <w:rPr>
          <w:rFonts w:hint="eastAsia" w:ascii="宋体" w:hAnsi="宋体" w:eastAsia="宋体" w:cs="微软雅黑"/>
          <w:bCs/>
          <w:sz w:val="32"/>
          <w:szCs w:val="32"/>
        </w:rPr>
        <w:t>上国会培〔</w:t>
      </w:r>
      <w:r>
        <w:rPr>
          <w:rFonts w:ascii="宋体" w:hAnsi="宋体" w:eastAsia="宋体" w:cs="微软雅黑"/>
          <w:bCs/>
          <w:sz w:val="32"/>
          <w:szCs w:val="32"/>
        </w:rPr>
        <w:t>202</w:t>
      </w:r>
      <w:r>
        <w:rPr>
          <w:rFonts w:hint="eastAsia" w:ascii="宋体" w:hAnsi="宋体" w:eastAsia="宋体" w:cs="微软雅黑"/>
          <w:bCs/>
          <w:sz w:val="32"/>
          <w:szCs w:val="32"/>
        </w:rPr>
        <w:t>5〕18号</w:t>
      </w:r>
    </w:p>
    <w:p w14:paraId="0D53E79E">
      <w:pPr>
        <w:spacing w:line="420" w:lineRule="exact"/>
        <w:rPr>
          <w:rFonts w:ascii="宋体" w:hAnsi="宋体" w:eastAsia="宋体"/>
          <w:bCs/>
          <w:sz w:val="42"/>
          <w:szCs w:val="42"/>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97155</wp:posOffset>
                </wp:positionV>
                <wp:extent cx="5461635" cy="13970"/>
                <wp:effectExtent l="0" t="0" r="24765" b="24130"/>
                <wp:wrapNone/>
                <wp:docPr id="4"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7.65pt;height:1.1pt;width:430.05pt;z-index:251659264;mso-width-relative:page;mso-height-relative:page;" filled="f" stroked="t" coordsize="21600,21600" o:gfxdata="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6l1ybWAAAACQEAAA8AAAAAAAAAAQAgAAAAIgAAAGRycy9kb3ducmV2LnhtbFBL&#10;AQIUABQAAAAIAIdO4kAs9msCvwEAAHwDAAAOAAAAAAAAAAEAIAAAACUBAABkcnMvZTJvRG9jLnht&#10;bFBLBQYAAAAABgAGAFkBAABWBQAAAAA=&#10;">
                <v:fill on="f" focussize="0,0"/>
                <v:stroke weight="2pt" color="#FF0000" joinstyle="round"/>
                <v:imagedata o:title=""/>
                <o:lock v:ext="edit" aspectratio="f"/>
              </v:line>
            </w:pict>
          </mc:Fallback>
        </mc:AlternateContent>
      </w:r>
    </w:p>
    <w:p w14:paraId="66E95696">
      <w:pPr>
        <w:spacing w:line="360" w:lineRule="auto"/>
        <w:jc w:val="center"/>
        <w:rPr>
          <w:rFonts w:ascii="宋体" w:hAnsi="宋体" w:eastAsia="宋体" w:cs="Times New Roman"/>
          <w:b/>
          <w:sz w:val="32"/>
          <w:szCs w:val="32"/>
        </w:rPr>
      </w:pPr>
    </w:p>
    <w:p w14:paraId="20ABAF8E">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关于举办“全域业财融合：</w:t>
      </w:r>
    </w:p>
    <w:p w14:paraId="757AA61C">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AI赋能与数据驱动的财务价值创造课程”的通知</w:t>
      </w:r>
    </w:p>
    <w:p w14:paraId="7D4383F8">
      <w:pPr>
        <w:spacing w:line="360" w:lineRule="auto"/>
        <w:jc w:val="center"/>
        <w:rPr>
          <w:rFonts w:ascii="宋体" w:hAnsi="宋体" w:eastAsia="宋体" w:cs="Times New Roman"/>
          <w:b/>
          <w:sz w:val="32"/>
          <w:szCs w:val="32"/>
        </w:rPr>
      </w:pPr>
    </w:p>
    <w:p w14:paraId="222AAE6B">
      <w:pPr>
        <w:pStyle w:val="43"/>
        <w:spacing w:line="360" w:lineRule="auto"/>
        <w:rPr>
          <w:rFonts w:ascii="仿宋_GB2312" w:hAnsi="宋体" w:eastAsia="仿宋_GB2312"/>
          <w:sz w:val="32"/>
          <w:szCs w:val="32"/>
        </w:rPr>
      </w:pPr>
      <w:r>
        <w:rPr>
          <w:rFonts w:hint="eastAsia" w:ascii="仿宋_GB2312" w:hAnsi="宋体" w:eastAsia="仿宋_GB2312"/>
          <w:sz w:val="32"/>
          <w:szCs w:val="32"/>
        </w:rPr>
        <w:t>各相关单位：</w:t>
      </w:r>
    </w:p>
    <w:p w14:paraId="5A71F2F2">
      <w:pPr>
        <w:pStyle w:val="43"/>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数智化时代的业财融合，是业务部门与财务部门通过数智技术和业务逻辑理解来实现业务流、资金流、信息流等数据源的及时共享，基于价值目标共同做出规划、决策、控制和评价等管理活动，以实现企业价值创造。财务与业务活动的有机融合已经成为传统会计从财务核算向价值创造转型的关键。</w:t>
      </w:r>
    </w:p>
    <w:p w14:paraId="608210F8">
      <w:pPr>
        <w:pStyle w:val="43"/>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《管理会计基本指引》也明确“单位应用管理会计，应遵循融合性原则。管理会计应嵌入单位相关领域、层次、环节，以业务流程为基础，利用管理会计工具方法，将财务和业务等有机融合”。</w:t>
      </w:r>
    </w:p>
    <w:p w14:paraId="78D1D8E0">
      <w:pPr>
        <w:pStyle w:val="43"/>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在数智化时代，业财融合能力涵盖流程融合、数据融合、管理融合三个层次。通过打通流程断点，实现业财流程融合，主要应用场景聚焦在财务共享中心、电子凭证管理、项目及合同管理。通过精细化核算构建业财大数据基础，结合算法、规则等实现业财数据深度挖掘及数据融合，主要场景包括会计核算、预算、分析、合并系统等等。在此基础上，财务人员能够更加高效地追溯业务信息，深入理解业务，发挥财务支持业务、支持决策的作用，实现管理融合。</w:t>
      </w:r>
    </w:p>
    <w:p w14:paraId="257A00F6">
      <w:pPr>
        <w:pStyle w:val="43"/>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数智化大潮来临，特别是AI赋能千行百业之际，为给大家提供业财融合的逻辑与路径参考，上海国家会计学院特联合用友开设此次课程，以案例教学的方式，以点带面，逐步深入，让各类企业都能从中找到切入点，开启全域业财融合创造价值之路。</w:t>
      </w:r>
    </w:p>
    <w:p w14:paraId="5483B34F">
      <w:pPr>
        <w:pStyle w:val="43"/>
        <w:spacing w:line="360" w:lineRule="auto"/>
        <w:ind w:firstLine="640" w:firstLineChars="200"/>
        <w:rPr>
          <w:rFonts w:ascii="仿宋_GB2312" w:hAnsi="宋体" w:eastAsia="仿宋_GB2312"/>
          <w:sz w:val="32"/>
          <w:szCs w:val="32"/>
        </w:rPr>
      </w:pPr>
    </w:p>
    <w:p w14:paraId="5B82C4A6">
      <w:pPr>
        <w:pStyle w:val="43"/>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附件：一、课程简介</w:t>
      </w:r>
    </w:p>
    <w:p w14:paraId="42BF042C">
      <w:pPr>
        <w:pStyle w:val="43"/>
        <w:spacing w:line="360" w:lineRule="auto"/>
        <w:ind w:firstLine="1600" w:firstLineChars="500"/>
        <w:rPr>
          <w:rFonts w:ascii="仿宋_GB2312" w:hAnsi="宋体" w:eastAsia="仿宋_GB2312"/>
          <w:sz w:val="32"/>
          <w:szCs w:val="32"/>
        </w:rPr>
      </w:pPr>
      <w:r>
        <w:rPr>
          <w:rFonts w:hint="eastAsia" w:ascii="仿宋_GB2312" w:hAnsi="宋体" w:eastAsia="仿宋_GB2312"/>
          <w:sz w:val="32"/>
          <w:szCs w:val="32"/>
        </w:rPr>
        <w:t>二、报名回执表</w:t>
      </w:r>
    </w:p>
    <w:p w14:paraId="350FED18">
      <w:pPr>
        <w:spacing w:line="360" w:lineRule="auto"/>
        <w:rPr>
          <w:rFonts w:ascii="仿宋_GB2312" w:hAnsi="宋体" w:eastAsia="仿宋_GB2312"/>
          <w:sz w:val="32"/>
          <w:szCs w:val="32"/>
        </w:rPr>
      </w:pPr>
    </w:p>
    <w:p w14:paraId="3F0774C8">
      <w:pPr>
        <w:spacing w:line="360" w:lineRule="auto"/>
        <w:rPr>
          <w:rFonts w:ascii="仿宋_GB2312" w:hAnsi="宋体" w:eastAsia="仿宋_GB2312"/>
          <w:sz w:val="32"/>
          <w:szCs w:val="32"/>
        </w:rPr>
      </w:pPr>
    </w:p>
    <w:p w14:paraId="1C17E5F0">
      <w:pPr>
        <w:spacing w:line="360" w:lineRule="auto"/>
        <w:rPr>
          <w:rFonts w:ascii="仿宋_GB2312" w:hAnsi="宋体" w:eastAsia="仿宋_GB2312"/>
          <w:sz w:val="32"/>
          <w:szCs w:val="32"/>
        </w:rPr>
      </w:pPr>
    </w:p>
    <w:p w14:paraId="5BDCF463">
      <w:pPr>
        <w:spacing w:line="360" w:lineRule="auto"/>
        <w:jc w:val="right"/>
        <w:rPr>
          <w:rFonts w:ascii="仿宋_GB2312" w:hAnsi="宋体" w:eastAsia="仿宋_GB2312"/>
          <w:sz w:val="32"/>
          <w:szCs w:val="32"/>
        </w:rPr>
      </w:pPr>
      <w:r>
        <w:rPr>
          <w:rFonts w:hint="eastAsia" w:ascii="仿宋_GB2312" w:hAnsi="宋体" w:eastAsia="仿宋_GB2312"/>
          <w:sz w:val="32"/>
          <w:szCs w:val="32"/>
        </w:rPr>
        <w:t>上海国家会计学院</w:t>
      </w:r>
    </w:p>
    <w:p w14:paraId="46986FC1">
      <w:pPr>
        <w:spacing w:line="360" w:lineRule="auto"/>
        <w:jc w:val="right"/>
        <w:rPr>
          <w:rFonts w:ascii="仿宋_GB2312" w:hAnsi="宋体" w:eastAsia="仿宋_GB2312"/>
          <w:sz w:val="32"/>
          <w:szCs w:val="32"/>
        </w:rPr>
      </w:pPr>
      <w:r>
        <w:rPr>
          <w:rFonts w:hint="eastAsia" w:ascii="仿宋_GB2312" w:hAnsi="宋体" w:eastAsia="仿宋_GB2312"/>
          <w:sz w:val="32"/>
          <w:szCs w:val="32"/>
        </w:rPr>
        <w:t>教务二部</w:t>
      </w:r>
    </w:p>
    <w:p w14:paraId="61040744">
      <w:pPr>
        <w:spacing w:line="360" w:lineRule="auto"/>
        <w:ind w:firstLine="5120" w:firstLineChars="1600"/>
        <w:jc w:val="right"/>
        <w:rPr>
          <w:rFonts w:ascii="仿宋_GB2312" w:hAnsi="宋体" w:eastAsia="仿宋_GB2312"/>
          <w:sz w:val="32"/>
          <w:szCs w:val="32"/>
        </w:rPr>
      </w:pPr>
      <w:r>
        <w:rPr>
          <w:rFonts w:hint="eastAsia" w:ascii="仿宋_GB2312" w:hAnsi="宋体" w:eastAsia="仿宋_GB2312"/>
          <w:sz w:val="32"/>
          <w:szCs w:val="32"/>
        </w:rPr>
        <w:t>2025年8月</w:t>
      </w:r>
    </w:p>
    <w:p w14:paraId="7297B8D5">
      <w:pPr>
        <w:spacing w:line="360" w:lineRule="auto"/>
        <w:ind w:firstLine="5120" w:firstLineChars="1600"/>
        <w:jc w:val="right"/>
        <w:rPr>
          <w:rFonts w:ascii="仿宋_GB2312" w:hAnsi="宋体" w:eastAsia="仿宋_GB2312"/>
          <w:sz w:val="32"/>
          <w:szCs w:val="32"/>
        </w:rPr>
      </w:pPr>
    </w:p>
    <w:p w14:paraId="419AAA41">
      <w:pPr>
        <w:pStyle w:val="43"/>
        <w:spacing w:before="156" w:beforeLines="50" w:line="360" w:lineRule="auto"/>
        <w:rPr>
          <w:rFonts w:ascii="黑体" w:hAnsi="黑体" w:eastAsia="黑体" w:cs="宋体"/>
          <w:b/>
          <w:bCs/>
          <w:kern w:val="0"/>
          <w:sz w:val="32"/>
          <w:szCs w:val="32"/>
        </w:rPr>
      </w:pPr>
      <w:r>
        <w:rPr>
          <w:rFonts w:hint="eastAsia" w:ascii="黑体" w:hAnsi="黑体" w:eastAsia="黑体" w:cs="宋体"/>
          <w:b/>
          <w:bCs/>
          <w:kern w:val="0"/>
          <w:sz w:val="32"/>
          <w:szCs w:val="32"/>
        </w:rPr>
        <w:t>附件一：课程简介</w:t>
      </w:r>
    </w:p>
    <w:p w14:paraId="65826896">
      <w:pPr>
        <w:spacing w:line="360" w:lineRule="auto"/>
        <w:ind w:left="210" w:leftChars="10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一、培训安排</w:t>
      </w:r>
    </w:p>
    <w:tbl>
      <w:tblPr>
        <w:tblStyle w:val="1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35"/>
        <w:gridCol w:w="1559"/>
        <w:gridCol w:w="1701"/>
        <w:gridCol w:w="2693"/>
      </w:tblGrid>
      <w:tr w14:paraId="05E283B9">
        <w:trPr>
          <w:jc w:val="center"/>
        </w:trPr>
        <w:tc>
          <w:tcPr>
            <w:tcW w:w="1555" w:type="dxa"/>
          </w:tcPr>
          <w:p w14:paraId="56F32EB0">
            <w:pPr>
              <w:spacing w:line="360" w:lineRule="auto"/>
              <w:jc w:val="center"/>
              <w:rPr>
                <w:rFonts w:ascii="仿宋_GB2312" w:hAnsi="宋体" w:eastAsia="仿宋_GB2312"/>
                <w:sz w:val="32"/>
                <w:szCs w:val="32"/>
              </w:rPr>
            </w:pPr>
            <w:r>
              <w:rPr>
                <w:rFonts w:hint="eastAsia" w:ascii="仿宋_GB2312" w:hAnsi="宋体" w:eastAsia="仿宋_GB2312"/>
                <w:sz w:val="32"/>
                <w:szCs w:val="32"/>
              </w:rPr>
              <w:t>期数</w:t>
            </w:r>
          </w:p>
        </w:tc>
        <w:tc>
          <w:tcPr>
            <w:tcW w:w="2835" w:type="dxa"/>
          </w:tcPr>
          <w:p w14:paraId="4A52FADE">
            <w:pPr>
              <w:spacing w:line="360" w:lineRule="auto"/>
              <w:jc w:val="center"/>
              <w:rPr>
                <w:rFonts w:ascii="仿宋_GB2312" w:hAnsi="宋体" w:eastAsia="仿宋_GB2312"/>
                <w:sz w:val="32"/>
                <w:szCs w:val="32"/>
              </w:rPr>
            </w:pPr>
            <w:r>
              <w:rPr>
                <w:rFonts w:hint="eastAsia" w:ascii="仿宋_GB2312" w:hAnsi="宋体" w:eastAsia="仿宋_GB2312"/>
                <w:sz w:val="32"/>
                <w:szCs w:val="32"/>
              </w:rPr>
              <w:t>培训时间</w:t>
            </w:r>
          </w:p>
        </w:tc>
        <w:tc>
          <w:tcPr>
            <w:tcW w:w="1559" w:type="dxa"/>
          </w:tcPr>
          <w:p w14:paraId="6C6EE3D2">
            <w:pPr>
              <w:spacing w:line="360" w:lineRule="auto"/>
              <w:jc w:val="center"/>
              <w:rPr>
                <w:rFonts w:ascii="仿宋_GB2312" w:hAnsi="宋体" w:eastAsia="仿宋_GB2312"/>
                <w:sz w:val="32"/>
                <w:szCs w:val="32"/>
              </w:rPr>
            </w:pPr>
            <w:r>
              <w:rPr>
                <w:rFonts w:hint="eastAsia" w:ascii="仿宋_GB2312" w:hAnsi="宋体" w:eastAsia="仿宋_GB2312"/>
                <w:sz w:val="32"/>
                <w:szCs w:val="32"/>
              </w:rPr>
              <w:t>报到时间</w:t>
            </w:r>
          </w:p>
        </w:tc>
        <w:tc>
          <w:tcPr>
            <w:tcW w:w="1701" w:type="dxa"/>
          </w:tcPr>
          <w:p w14:paraId="7526F2EF">
            <w:pPr>
              <w:spacing w:line="360" w:lineRule="auto"/>
              <w:jc w:val="center"/>
              <w:rPr>
                <w:rFonts w:ascii="仿宋_GB2312" w:hAnsi="宋体" w:eastAsia="仿宋_GB2312"/>
                <w:sz w:val="32"/>
                <w:szCs w:val="32"/>
              </w:rPr>
            </w:pPr>
            <w:r>
              <w:rPr>
                <w:rFonts w:hint="eastAsia" w:ascii="仿宋_GB2312" w:hAnsi="宋体" w:eastAsia="仿宋_GB2312"/>
                <w:sz w:val="32"/>
                <w:szCs w:val="32"/>
              </w:rPr>
              <w:t>培训地点</w:t>
            </w:r>
          </w:p>
        </w:tc>
        <w:tc>
          <w:tcPr>
            <w:tcW w:w="2693" w:type="dxa"/>
          </w:tcPr>
          <w:p w14:paraId="7242C092">
            <w:pPr>
              <w:spacing w:line="360" w:lineRule="auto"/>
              <w:jc w:val="center"/>
              <w:rPr>
                <w:rFonts w:ascii="仿宋_GB2312" w:hAnsi="宋体" w:eastAsia="仿宋_GB2312"/>
                <w:sz w:val="32"/>
                <w:szCs w:val="32"/>
              </w:rPr>
            </w:pPr>
            <w:r>
              <w:rPr>
                <w:rFonts w:hint="eastAsia" w:ascii="仿宋_GB2312" w:hAnsi="宋体" w:eastAsia="仿宋_GB2312"/>
                <w:sz w:val="32"/>
                <w:szCs w:val="32"/>
              </w:rPr>
              <w:t>现场教学</w:t>
            </w:r>
          </w:p>
        </w:tc>
      </w:tr>
      <w:tr w14:paraId="473E25F2">
        <w:trPr>
          <w:jc w:val="center"/>
        </w:trPr>
        <w:tc>
          <w:tcPr>
            <w:tcW w:w="1555" w:type="dxa"/>
            <w:vAlign w:val="center"/>
          </w:tcPr>
          <w:p w14:paraId="5DE40C39">
            <w:pPr>
              <w:spacing w:line="360" w:lineRule="auto"/>
              <w:jc w:val="center"/>
              <w:rPr>
                <w:rFonts w:ascii="仿宋_GB2312" w:hAnsi="宋体" w:eastAsia="仿宋_GB2312"/>
                <w:sz w:val="32"/>
                <w:szCs w:val="32"/>
              </w:rPr>
            </w:pPr>
            <w:r>
              <w:rPr>
                <w:rFonts w:hint="eastAsia" w:ascii="仿宋_GB2312" w:hAnsi="宋体" w:eastAsia="仿宋_GB2312"/>
                <w:sz w:val="32"/>
                <w:szCs w:val="32"/>
              </w:rPr>
              <w:t>第一期</w:t>
            </w:r>
          </w:p>
        </w:tc>
        <w:tc>
          <w:tcPr>
            <w:tcW w:w="2835" w:type="dxa"/>
            <w:vAlign w:val="center"/>
          </w:tcPr>
          <w:p w14:paraId="10B5D382">
            <w:pPr>
              <w:spacing w:line="360" w:lineRule="auto"/>
              <w:jc w:val="center"/>
              <w:rPr>
                <w:rFonts w:ascii="仿宋_GB2312" w:hAnsi="宋体" w:eastAsia="仿宋_GB2312"/>
                <w:sz w:val="32"/>
                <w:szCs w:val="32"/>
              </w:rPr>
            </w:pPr>
            <w:r>
              <w:rPr>
                <w:rFonts w:hint="eastAsia" w:ascii="仿宋_GB2312" w:hAnsi="宋体" w:eastAsia="仿宋_GB2312"/>
                <w:sz w:val="32"/>
                <w:szCs w:val="32"/>
              </w:rPr>
              <w:t>9月25日-27日</w:t>
            </w:r>
          </w:p>
        </w:tc>
        <w:tc>
          <w:tcPr>
            <w:tcW w:w="1559" w:type="dxa"/>
            <w:vAlign w:val="center"/>
          </w:tcPr>
          <w:p w14:paraId="2A7FCBD0">
            <w:pPr>
              <w:spacing w:line="360" w:lineRule="auto"/>
              <w:jc w:val="center"/>
              <w:rPr>
                <w:rFonts w:ascii="仿宋_GB2312" w:hAnsi="宋体" w:eastAsia="仿宋_GB2312"/>
                <w:sz w:val="32"/>
                <w:szCs w:val="32"/>
              </w:rPr>
            </w:pPr>
            <w:r>
              <w:rPr>
                <w:rFonts w:hint="eastAsia" w:ascii="仿宋_GB2312" w:hAnsi="宋体" w:eastAsia="仿宋_GB2312"/>
                <w:sz w:val="32"/>
                <w:szCs w:val="32"/>
              </w:rPr>
              <w:t>24日</w:t>
            </w:r>
          </w:p>
        </w:tc>
        <w:tc>
          <w:tcPr>
            <w:tcW w:w="1701" w:type="dxa"/>
            <w:vAlign w:val="center"/>
          </w:tcPr>
          <w:p w14:paraId="03BABD23">
            <w:pPr>
              <w:spacing w:line="360" w:lineRule="auto"/>
              <w:jc w:val="center"/>
              <w:rPr>
                <w:rFonts w:ascii="仿宋_GB2312" w:hAnsi="宋体" w:eastAsia="仿宋_GB2312"/>
                <w:sz w:val="32"/>
                <w:szCs w:val="32"/>
              </w:rPr>
            </w:pPr>
            <w:r>
              <w:rPr>
                <w:rFonts w:hint="eastAsia" w:ascii="仿宋_GB2312" w:hAnsi="宋体" w:eastAsia="仿宋_GB2312"/>
                <w:sz w:val="32"/>
                <w:szCs w:val="32"/>
              </w:rPr>
              <w:t>芜湖</w:t>
            </w:r>
          </w:p>
        </w:tc>
        <w:tc>
          <w:tcPr>
            <w:tcW w:w="2693" w:type="dxa"/>
            <w:vAlign w:val="center"/>
          </w:tcPr>
          <w:p w14:paraId="2DF6A1A3">
            <w:pPr>
              <w:spacing w:line="360" w:lineRule="auto"/>
              <w:jc w:val="center"/>
              <w:rPr>
                <w:rFonts w:ascii="仿宋_GB2312" w:hAnsi="宋体" w:eastAsia="仿宋_GB2312"/>
                <w:sz w:val="32"/>
                <w:szCs w:val="32"/>
              </w:rPr>
            </w:pPr>
            <w:r>
              <w:rPr>
                <w:rFonts w:hint="eastAsia" w:ascii="仿宋_GB2312" w:hAnsi="宋体" w:eastAsia="仿宋_GB2312"/>
                <w:sz w:val="32"/>
                <w:szCs w:val="32"/>
              </w:rPr>
              <w:t>海螺水泥</w:t>
            </w:r>
          </w:p>
          <w:p w14:paraId="69A3AD59">
            <w:pPr>
              <w:spacing w:line="360" w:lineRule="auto"/>
              <w:jc w:val="center"/>
              <w:rPr>
                <w:rFonts w:ascii="仿宋_GB2312" w:hAnsi="宋体" w:eastAsia="仿宋_GB2312"/>
                <w:sz w:val="32"/>
                <w:szCs w:val="32"/>
              </w:rPr>
            </w:pPr>
            <w:r>
              <w:rPr>
                <w:rFonts w:hint="eastAsia" w:ascii="仿宋_GB2312" w:hAnsi="宋体" w:eastAsia="仿宋_GB2312"/>
                <w:sz w:val="32"/>
                <w:szCs w:val="32"/>
              </w:rPr>
              <w:t>（芜湖、铜陵）</w:t>
            </w:r>
          </w:p>
        </w:tc>
      </w:tr>
      <w:tr w14:paraId="0C6D8D51">
        <w:trPr>
          <w:jc w:val="center"/>
        </w:trPr>
        <w:tc>
          <w:tcPr>
            <w:tcW w:w="1555" w:type="dxa"/>
          </w:tcPr>
          <w:p w14:paraId="36427CFF">
            <w:pPr>
              <w:spacing w:line="360" w:lineRule="auto"/>
              <w:jc w:val="center"/>
              <w:rPr>
                <w:rFonts w:ascii="仿宋_GB2312" w:hAnsi="宋体" w:eastAsia="仿宋_GB2312"/>
                <w:sz w:val="32"/>
                <w:szCs w:val="32"/>
              </w:rPr>
            </w:pPr>
            <w:r>
              <w:rPr>
                <w:rFonts w:hint="eastAsia" w:ascii="仿宋_GB2312" w:hAnsi="宋体" w:eastAsia="仿宋_GB2312"/>
                <w:sz w:val="32"/>
                <w:szCs w:val="32"/>
              </w:rPr>
              <w:t>第二期</w:t>
            </w:r>
          </w:p>
        </w:tc>
        <w:tc>
          <w:tcPr>
            <w:tcW w:w="6095" w:type="dxa"/>
            <w:gridSpan w:val="3"/>
          </w:tcPr>
          <w:p w14:paraId="2FC21270">
            <w:pPr>
              <w:spacing w:line="360" w:lineRule="auto"/>
              <w:jc w:val="center"/>
              <w:rPr>
                <w:rFonts w:ascii="仿宋_GB2312" w:hAnsi="宋体" w:eastAsia="仿宋_GB2312"/>
                <w:sz w:val="32"/>
                <w:szCs w:val="32"/>
              </w:rPr>
            </w:pPr>
            <w:r>
              <w:rPr>
                <w:rFonts w:hint="eastAsia" w:ascii="仿宋_GB2312" w:hAnsi="宋体" w:eastAsia="仿宋_GB2312"/>
                <w:sz w:val="32"/>
                <w:szCs w:val="32"/>
              </w:rPr>
              <w:t>12月</w:t>
            </w:r>
          </w:p>
        </w:tc>
        <w:tc>
          <w:tcPr>
            <w:tcW w:w="2693" w:type="dxa"/>
          </w:tcPr>
          <w:p w14:paraId="434A1752">
            <w:pPr>
              <w:spacing w:line="360" w:lineRule="auto"/>
              <w:jc w:val="center"/>
              <w:rPr>
                <w:rFonts w:ascii="仿宋_GB2312" w:hAnsi="宋体" w:eastAsia="仿宋_GB2312"/>
                <w:sz w:val="32"/>
                <w:szCs w:val="32"/>
              </w:rPr>
            </w:pPr>
            <w:r>
              <w:rPr>
                <w:rFonts w:hint="eastAsia" w:ascii="仿宋_GB2312" w:hAnsi="宋体" w:eastAsia="仿宋_GB2312"/>
                <w:sz w:val="32"/>
                <w:szCs w:val="32"/>
              </w:rPr>
              <w:t>敬请期待</w:t>
            </w:r>
          </w:p>
        </w:tc>
      </w:tr>
    </w:tbl>
    <w:p w14:paraId="61D31ECF">
      <w:pPr>
        <w:spacing w:line="360" w:lineRule="auto"/>
        <w:rPr>
          <w:rFonts w:ascii="仿宋_GB2312" w:hAnsi="宋体" w:eastAsia="仿宋_GB2312"/>
          <w:b/>
          <w:sz w:val="32"/>
          <w:szCs w:val="32"/>
        </w:rPr>
      </w:pPr>
      <w:r>
        <w:rPr>
          <w:rFonts w:hint="eastAsia" w:ascii="仿宋_GB2312" w:hAnsi="宋体" w:eastAsia="仿宋_GB2312"/>
          <w:b/>
          <w:sz w:val="32"/>
          <w:szCs w:val="32"/>
        </w:rPr>
        <w:t>二、课程目标</w:t>
      </w:r>
    </w:p>
    <w:p w14:paraId="7B51E8DA">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1.理解数智化时代下的流程融合与数据融合；</w:t>
      </w:r>
    </w:p>
    <w:p w14:paraId="105EE47D">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2.掌握AI赋能下流程、数据与管理融合的财务转型路径及实践案例；</w:t>
      </w:r>
    </w:p>
    <w:p w14:paraId="23705B77">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3.对标学习最佳实践。</w:t>
      </w:r>
    </w:p>
    <w:p w14:paraId="2871A5B8">
      <w:pPr>
        <w:spacing w:line="360" w:lineRule="auto"/>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三、培训对象</w:t>
      </w:r>
    </w:p>
    <w:p w14:paraId="2AEF543E">
      <w:pPr>
        <w:spacing w:line="360" w:lineRule="auto"/>
        <w:rPr>
          <w:rFonts w:ascii="仿宋_GB2312" w:hAnsi="宋体" w:eastAsia="仿宋_GB2312" w:cs="Times New Roman"/>
          <w:bCs/>
          <w:color w:val="000000"/>
          <w:sz w:val="32"/>
          <w:szCs w:val="32"/>
        </w:rPr>
      </w:pPr>
      <w:r>
        <w:rPr>
          <w:rFonts w:hint="eastAsia" w:ascii="仿宋_GB2312" w:hAnsi="宋体" w:eastAsia="仿宋_GB2312" w:cs="Times New Roman"/>
          <w:bCs/>
          <w:color w:val="000000"/>
          <w:sz w:val="32"/>
          <w:szCs w:val="32"/>
        </w:rPr>
        <w:t>大中型企事业单位的高管、财务总监、核心财务管理人员。</w:t>
      </w:r>
    </w:p>
    <w:p w14:paraId="3A7FA48B">
      <w:pPr>
        <w:pStyle w:val="36"/>
        <w:widowControl/>
        <w:numPr>
          <w:ilvl w:val="0"/>
          <w:numId w:val="1"/>
        </w:numPr>
        <w:spacing w:before="240" w:after="240" w:line="360" w:lineRule="auto"/>
        <w:jc w:val="left"/>
        <w:rPr>
          <w:rFonts w:ascii="仿宋_GB2312" w:eastAsia="仿宋_GB2312"/>
          <w:sz w:val="32"/>
          <w:szCs w:val="32"/>
        </w:rPr>
      </w:pPr>
      <w:r>
        <w:rPr>
          <w:rFonts w:hint="eastAsia" w:ascii="仿宋_GB2312" w:hAnsi="宋体" w:eastAsia="仿宋_GB2312"/>
          <w:b/>
          <w:sz w:val="32"/>
          <w:szCs w:val="32"/>
        </w:rPr>
        <w:t>课程内容</w:t>
      </w:r>
    </w:p>
    <w:p w14:paraId="4DD8300D">
      <w:pPr>
        <w:widowControl/>
        <w:spacing w:before="240" w:after="240"/>
        <w:contextualSpacing/>
        <w:jc w:val="left"/>
        <w:rPr>
          <w:rFonts w:ascii="仿宋_GB2312" w:eastAsia="仿宋_GB2312"/>
          <w:b/>
          <w:bCs/>
          <w:sz w:val="32"/>
          <w:szCs w:val="32"/>
        </w:rPr>
      </w:pPr>
      <w:r>
        <w:rPr>
          <w:rFonts w:hint="eastAsia" w:ascii="仿宋_GB2312" w:eastAsia="仿宋_GB2312"/>
          <w:b/>
          <w:bCs/>
          <w:sz w:val="32"/>
          <w:szCs w:val="32"/>
        </w:rPr>
        <w:t>（一）财务数智化时代的流程融合与数据融合</w:t>
      </w:r>
    </w:p>
    <w:p w14:paraId="79B84E77">
      <w:pPr>
        <w:rPr>
          <w:rFonts w:ascii="仿宋_GB2312" w:eastAsia="仿宋_GB2312"/>
          <w:sz w:val="32"/>
          <w:szCs w:val="32"/>
        </w:rPr>
      </w:pPr>
      <w:r>
        <w:rPr>
          <w:rFonts w:ascii="仿宋_GB2312" w:eastAsia="仿宋_GB2312"/>
          <w:sz w:val="32"/>
          <w:szCs w:val="32"/>
        </w:rPr>
        <w:t>1.财务</w:t>
      </w:r>
      <w:r>
        <w:rPr>
          <w:rFonts w:hint="eastAsia" w:ascii="仿宋_GB2312" w:eastAsia="仿宋_GB2312"/>
          <w:sz w:val="32"/>
          <w:szCs w:val="32"/>
        </w:rPr>
        <w:t>数智</w:t>
      </w:r>
      <w:r>
        <w:rPr>
          <w:rFonts w:ascii="仿宋_GB2312" w:eastAsia="仿宋_GB2312"/>
          <w:sz w:val="32"/>
          <w:szCs w:val="32"/>
        </w:rPr>
        <w:t>化转型框架体系</w:t>
      </w:r>
    </w:p>
    <w:p w14:paraId="2EA73314">
      <w:pPr>
        <w:rPr>
          <w:rFonts w:ascii="仿宋_GB2312" w:eastAsia="仿宋_GB2312"/>
          <w:sz w:val="32"/>
          <w:szCs w:val="32"/>
        </w:rPr>
      </w:pPr>
      <w:r>
        <w:rPr>
          <w:rFonts w:ascii="仿宋_GB2312" w:eastAsia="仿宋_GB2312"/>
          <w:sz w:val="32"/>
          <w:szCs w:val="32"/>
        </w:rPr>
        <w:t>1.1财务</w:t>
      </w:r>
      <w:r>
        <w:rPr>
          <w:rFonts w:hint="eastAsia" w:ascii="仿宋_GB2312" w:eastAsia="仿宋_GB2312"/>
          <w:sz w:val="32"/>
          <w:szCs w:val="32"/>
        </w:rPr>
        <w:t>数智</w:t>
      </w:r>
      <w:r>
        <w:rPr>
          <w:rFonts w:ascii="仿宋_GB2312" w:eastAsia="仿宋_GB2312"/>
          <w:sz w:val="32"/>
          <w:szCs w:val="32"/>
        </w:rPr>
        <w:t>化转型框架体系核心内涵</w:t>
      </w:r>
    </w:p>
    <w:p w14:paraId="5F5F45E1">
      <w:pPr>
        <w:rPr>
          <w:rFonts w:ascii="仿宋_GB2312" w:eastAsia="仿宋_GB2312"/>
          <w:sz w:val="32"/>
          <w:szCs w:val="32"/>
        </w:rPr>
      </w:pPr>
      <w:r>
        <w:rPr>
          <w:rFonts w:ascii="仿宋_GB2312" w:eastAsia="仿宋_GB2312"/>
          <w:sz w:val="32"/>
          <w:szCs w:val="32"/>
        </w:rPr>
        <w:t>1.2世界一流财务管理体系对流程与数据双驱动的要求</w:t>
      </w:r>
    </w:p>
    <w:p w14:paraId="6508AABE">
      <w:pPr>
        <w:rPr>
          <w:rFonts w:ascii="仿宋_GB2312" w:eastAsia="仿宋_GB2312"/>
          <w:sz w:val="32"/>
          <w:szCs w:val="32"/>
        </w:rPr>
      </w:pPr>
      <w:r>
        <w:rPr>
          <w:rFonts w:ascii="仿宋_GB2312" w:eastAsia="仿宋_GB2312"/>
          <w:sz w:val="32"/>
          <w:szCs w:val="32"/>
        </w:rPr>
        <w:t>1.3数智化转型对流程与数据融合的影响逻辑</w:t>
      </w:r>
    </w:p>
    <w:p w14:paraId="188B2B58">
      <w:pPr>
        <w:rPr>
          <w:rFonts w:ascii="仿宋_GB2312" w:eastAsia="仿宋_GB2312"/>
          <w:sz w:val="32"/>
          <w:szCs w:val="32"/>
        </w:rPr>
      </w:pPr>
      <w:r>
        <w:rPr>
          <w:rFonts w:ascii="仿宋_GB2312" w:eastAsia="仿宋_GB2312"/>
          <w:sz w:val="32"/>
          <w:szCs w:val="32"/>
        </w:rPr>
        <w:t>1.4数字技术推动流程与数据融合的核心思路</w:t>
      </w:r>
    </w:p>
    <w:p w14:paraId="2E0A8D29">
      <w:pPr>
        <w:rPr>
          <w:rFonts w:ascii="仿宋_GB2312" w:eastAsia="仿宋_GB2312"/>
          <w:sz w:val="32"/>
          <w:szCs w:val="32"/>
        </w:rPr>
      </w:pPr>
      <w:r>
        <w:rPr>
          <w:rFonts w:ascii="仿宋_GB2312" w:eastAsia="仿宋_GB2312"/>
          <w:sz w:val="32"/>
          <w:szCs w:val="32"/>
        </w:rPr>
        <w:t>2.流程融合与数据融合视角下财务转型策略及案例实践</w:t>
      </w:r>
    </w:p>
    <w:p w14:paraId="65D62E97">
      <w:pPr>
        <w:rPr>
          <w:rFonts w:ascii="仿宋_GB2312" w:eastAsia="仿宋_GB2312"/>
          <w:sz w:val="32"/>
          <w:szCs w:val="32"/>
        </w:rPr>
      </w:pPr>
      <w:r>
        <w:rPr>
          <w:rFonts w:ascii="仿宋_GB2312" w:eastAsia="仿宋_GB2312"/>
          <w:sz w:val="32"/>
          <w:szCs w:val="32"/>
        </w:rPr>
        <w:t>2.1流程融合与数据融合视角下财务会计转型策略</w:t>
      </w:r>
    </w:p>
    <w:p w14:paraId="64C648BF">
      <w:pPr>
        <w:rPr>
          <w:rFonts w:ascii="仿宋_GB2312" w:eastAsia="仿宋_GB2312"/>
          <w:sz w:val="32"/>
          <w:szCs w:val="32"/>
        </w:rPr>
      </w:pPr>
      <w:r>
        <w:rPr>
          <w:rFonts w:ascii="仿宋_GB2312" w:eastAsia="仿宋_GB2312"/>
          <w:sz w:val="32"/>
          <w:szCs w:val="32"/>
        </w:rPr>
        <w:t>2.2流程融合与数据融合视角下管理会计转型策略</w:t>
      </w:r>
    </w:p>
    <w:p w14:paraId="25E1A4D3">
      <w:pPr>
        <w:rPr>
          <w:rFonts w:ascii="仿宋_GB2312" w:eastAsia="仿宋_GB2312"/>
          <w:sz w:val="32"/>
          <w:szCs w:val="32"/>
        </w:rPr>
      </w:pPr>
      <w:r>
        <w:rPr>
          <w:rFonts w:ascii="仿宋_GB2312" w:eastAsia="仿宋_GB2312"/>
          <w:sz w:val="32"/>
          <w:szCs w:val="32"/>
        </w:rPr>
        <w:t>2.3流程融合与数据融合视角下业财融合建设策略</w:t>
      </w:r>
    </w:p>
    <w:p w14:paraId="5C7CF988">
      <w:pPr>
        <w:rPr>
          <w:rFonts w:ascii="仿宋_GB2312" w:eastAsia="仿宋_GB2312"/>
          <w:sz w:val="32"/>
          <w:szCs w:val="32"/>
        </w:rPr>
      </w:pPr>
      <w:r>
        <w:rPr>
          <w:rFonts w:ascii="仿宋_GB2312" w:eastAsia="仿宋_GB2312"/>
          <w:sz w:val="32"/>
          <w:szCs w:val="32"/>
        </w:rPr>
        <w:t>2.4财务会计职能下流程与数据融合应用场景</w:t>
      </w:r>
    </w:p>
    <w:p w14:paraId="417DD02A">
      <w:pPr>
        <w:rPr>
          <w:rFonts w:ascii="仿宋_GB2312" w:eastAsia="仿宋_GB2312"/>
          <w:sz w:val="32"/>
          <w:szCs w:val="32"/>
        </w:rPr>
      </w:pPr>
      <w:r>
        <w:rPr>
          <w:rFonts w:ascii="仿宋_GB2312" w:eastAsia="仿宋_GB2312"/>
          <w:sz w:val="32"/>
          <w:szCs w:val="32"/>
        </w:rPr>
        <w:t>2.5管理会计职能下流程与数据融合应用场景</w:t>
      </w:r>
    </w:p>
    <w:p w14:paraId="12A7BB78">
      <w:pPr>
        <w:widowControl/>
        <w:spacing w:before="240" w:after="240" w:line="360" w:lineRule="auto"/>
        <w:contextualSpacing/>
        <w:jc w:val="left"/>
        <w:rPr>
          <w:rFonts w:ascii="仿宋_GB2312" w:eastAsia="仿宋_GB2312"/>
          <w:b/>
          <w:bCs/>
          <w:sz w:val="32"/>
          <w:szCs w:val="32"/>
        </w:rPr>
      </w:pPr>
      <w:r>
        <w:rPr>
          <w:rFonts w:hint="eastAsia" w:ascii="仿宋_GB2312" w:eastAsia="仿宋_GB2312"/>
          <w:b/>
          <w:bCs/>
          <w:sz w:val="32"/>
          <w:szCs w:val="32"/>
        </w:rPr>
        <w:t>（二）AI驱动的财务转型升级</w:t>
      </w:r>
    </w:p>
    <w:p w14:paraId="47CFA6C3">
      <w:pPr>
        <w:widowControl/>
        <w:spacing w:before="240" w:after="240" w:line="360" w:lineRule="auto"/>
        <w:contextualSpacing/>
        <w:jc w:val="left"/>
        <w:rPr>
          <w:rFonts w:ascii="仿宋_GB2312" w:eastAsia="仿宋_GB2312"/>
          <w:sz w:val="32"/>
          <w:szCs w:val="32"/>
        </w:rPr>
      </w:pPr>
      <w:r>
        <w:rPr>
          <w:rFonts w:hint="eastAsia" w:ascii="仿宋_GB2312" w:eastAsia="仿宋_GB2312"/>
          <w:sz w:val="32"/>
          <w:szCs w:val="32"/>
        </w:rPr>
        <w:t>1. AI驱动财务共享升级：从卓越运营到无人值守</w:t>
      </w:r>
    </w:p>
    <w:p w14:paraId="043D5B37">
      <w:pPr>
        <w:widowControl/>
        <w:spacing w:before="240" w:after="240" w:line="360" w:lineRule="auto"/>
        <w:contextualSpacing/>
        <w:jc w:val="left"/>
        <w:rPr>
          <w:rFonts w:ascii="仿宋_GB2312" w:eastAsia="仿宋_GB2312"/>
          <w:sz w:val="32"/>
          <w:szCs w:val="32"/>
        </w:rPr>
      </w:pPr>
      <w:r>
        <w:rPr>
          <w:rFonts w:hint="eastAsia" w:ascii="仿宋_GB2312" w:eastAsia="仿宋_GB2312"/>
          <w:sz w:val="32"/>
          <w:szCs w:val="32"/>
        </w:rPr>
        <w:t>1.1财务共享运营成熟度诊断与领先实践对标</w:t>
      </w:r>
    </w:p>
    <w:p w14:paraId="40E0EE53">
      <w:pPr>
        <w:widowControl/>
        <w:spacing w:before="240" w:after="240" w:line="360" w:lineRule="auto"/>
        <w:contextualSpacing/>
        <w:jc w:val="left"/>
        <w:rPr>
          <w:rFonts w:ascii="仿宋_GB2312" w:eastAsia="仿宋_GB2312"/>
          <w:sz w:val="32"/>
          <w:szCs w:val="32"/>
        </w:rPr>
      </w:pPr>
      <w:r>
        <w:rPr>
          <w:rFonts w:hint="eastAsia" w:ascii="仿宋_GB2312" w:eastAsia="仿宋_GB2312"/>
          <w:sz w:val="32"/>
          <w:szCs w:val="32"/>
        </w:rPr>
        <w:t>1.2总分全级次财务共享建设与集团化管控</w:t>
      </w:r>
    </w:p>
    <w:p w14:paraId="1023B97A">
      <w:pPr>
        <w:widowControl/>
        <w:spacing w:before="240" w:after="240" w:line="360" w:lineRule="auto"/>
        <w:contextualSpacing/>
        <w:jc w:val="left"/>
        <w:rPr>
          <w:rFonts w:ascii="仿宋_GB2312" w:eastAsia="仿宋_GB2312"/>
          <w:sz w:val="32"/>
          <w:szCs w:val="32"/>
        </w:rPr>
      </w:pPr>
      <w:r>
        <w:rPr>
          <w:rFonts w:hint="eastAsia" w:ascii="仿宋_GB2312" w:eastAsia="仿宋_GB2312"/>
          <w:sz w:val="32"/>
          <w:szCs w:val="32"/>
        </w:rPr>
        <w:t>1.3人工智能推动“无人值守 安全共享”及人工智能在财务共享的深度应用</w:t>
      </w:r>
    </w:p>
    <w:p w14:paraId="458F3032">
      <w:pPr>
        <w:widowControl/>
        <w:spacing w:before="240" w:after="240" w:line="360" w:lineRule="auto"/>
        <w:contextualSpacing/>
        <w:jc w:val="left"/>
        <w:rPr>
          <w:rFonts w:ascii="仿宋_GB2312" w:eastAsia="仿宋_GB2312"/>
          <w:sz w:val="32"/>
          <w:szCs w:val="32"/>
        </w:rPr>
      </w:pPr>
      <w:r>
        <w:rPr>
          <w:rFonts w:hint="eastAsia" w:ascii="仿宋_GB2312" w:eastAsia="仿宋_GB2312"/>
          <w:sz w:val="32"/>
          <w:szCs w:val="32"/>
        </w:rPr>
        <w:t>1.4从共享流程服务中心走向数据价值中心</w:t>
      </w:r>
    </w:p>
    <w:p w14:paraId="2138D4D1">
      <w:pPr>
        <w:widowControl/>
        <w:numPr>
          <w:ilvl w:val="0"/>
          <w:numId w:val="2"/>
        </w:numPr>
        <w:spacing w:before="240" w:after="240" w:line="360" w:lineRule="auto"/>
        <w:contextualSpacing/>
        <w:jc w:val="left"/>
        <w:rPr>
          <w:rFonts w:ascii="仿宋_GB2312" w:eastAsia="仿宋_GB2312"/>
          <w:sz w:val="32"/>
          <w:szCs w:val="32"/>
        </w:rPr>
      </w:pPr>
      <w:r>
        <w:rPr>
          <w:rFonts w:hint="eastAsia" w:ascii="仿宋_GB2312" w:eastAsia="仿宋_GB2312"/>
          <w:sz w:val="32"/>
          <w:szCs w:val="32"/>
        </w:rPr>
        <w:t>AI驱动业财融合：预算、司库/资金、合规、风控、管理会计报告等</w:t>
      </w:r>
    </w:p>
    <w:p w14:paraId="1C4929EC">
      <w:pPr>
        <w:widowControl/>
        <w:spacing w:before="240" w:after="240" w:line="360" w:lineRule="auto"/>
        <w:contextualSpacing/>
        <w:jc w:val="left"/>
        <w:rPr>
          <w:rFonts w:ascii="仿宋_GB2312" w:eastAsia="仿宋_GB2312"/>
          <w:b/>
          <w:bCs/>
          <w:sz w:val="32"/>
          <w:szCs w:val="32"/>
        </w:rPr>
      </w:pPr>
      <w:r>
        <w:rPr>
          <w:rFonts w:hint="eastAsia" w:ascii="仿宋_GB2312" w:eastAsia="仿宋_GB2312"/>
          <w:b/>
          <w:bCs/>
          <w:sz w:val="32"/>
          <w:szCs w:val="32"/>
        </w:rPr>
        <w:t>（三）建智能会计体系 助力企业高质量发展</w:t>
      </w:r>
    </w:p>
    <w:p w14:paraId="3DDA0DF6">
      <w:pPr>
        <w:widowControl/>
        <w:spacing w:before="240" w:after="240" w:line="360" w:lineRule="auto"/>
        <w:contextualSpacing/>
        <w:jc w:val="left"/>
        <w:rPr>
          <w:rFonts w:ascii="仿宋_GB2312" w:eastAsia="仿宋_GB2312"/>
          <w:b/>
          <w:bCs/>
          <w:sz w:val="32"/>
          <w:szCs w:val="32"/>
        </w:rPr>
      </w:pPr>
      <w:r>
        <w:rPr>
          <w:rFonts w:hint="eastAsia" w:ascii="仿宋_GB2312" w:eastAsia="仿宋_GB2312"/>
          <w:b/>
          <w:bCs/>
          <w:sz w:val="32"/>
          <w:szCs w:val="32"/>
        </w:rPr>
        <w:t>——湖南建投集团案例分享</w:t>
      </w:r>
    </w:p>
    <w:p w14:paraId="71567E4A">
      <w:pPr>
        <w:rPr>
          <w:rFonts w:ascii="仿宋_GB2312" w:eastAsia="仿宋_GB2312"/>
          <w:sz w:val="32"/>
          <w:szCs w:val="32"/>
        </w:rPr>
      </w:pPr>
      <w:r>
        <w:rPr>
          <w:rFonts w:hint="eastAsia" w:ascii="仿宋_GB2312" w:eastAsia="仿宋_GB2312"/>
          <w:sz w:val="32"/>
          <w:szCs w:val="32"/>
        </w:rPr>
        <w:t>1. 整体建设思路：“N+1+10”架构的智能会计体系</w:t>
      </w:r>
    </w:p>
    <w:p w14:paraId="1E37DA9D">
      <w:pPr>
        <w:rPr>
          <w:rFonts w:ascii="仿宋_GB2312" w:eastAsia="仿宋_GB2312"/>
          <w:sz w:val="32"/>
          <w:szCs w:val="32"/>
        </w:rPr>
      </w:pPr>
      <w:r>
        <w:rPr>
          <w:rFonts w:hint="eastAsia" w:ascii="仿宋_GB2312" w:eastAsia="仿宋_GB2312"/>
          <w:sz w:val="32"/>
          <w:szCs w:val="32"/>
        </w:rPr>
        <w:t>2. 建设内容步骤</w:t>
      </w:r>
    </w:p>
    <w:p w14:paraId="5FCA8AEE">
      <w:pPr>
        <w:rPr>
          <w:rFonts w:ascii="仿宋_GB2312" w:eastAsia="仿宋_GB2312"/>
          <w:sz w:val="32"/>
          <w:szCs w:val="32"/>
        </w:rPr>
      </w:pPr>
      <w:r>
        <w:rPr>
          <w:rFonts w:hint="eastAsia" w:ascii="仿宋_GB2312" w:eastAsia="仿宋_GB2312"/>
          <w:sz w:val="32"/>
          <w:szCs w:val="32"/>
        </w:rPr>
        <w:t>2.1主数据标准化建设</w:t>
      </w:r>
    </w:p>
    <w:p w14:paraId="7840BAC1">
      <w:pPr>
        <w:rPr>
          <w:rFonts w:ascii="仿宋_GB2312" w:eastAsia="仿宋_GB2312"/>
          <w:sz w:val="32"/>
          <w:szCs w:val="32"/>
        </w:rPr>
      </w:pPr>
      <w:r>
        <w:rPr>
          <w:rFonts w:hint="eastAsia" w:ascii="仿宋_GB2312" w:eastAsia="仿宋_GB2312"/>
          <w:sz w:val="32"/>
          <w:szCs w:val="32"/>
        </w:rPr>
        <w:t>2.2业务场景标准化建设</w:t>
      </w:r>
    </w:p>
    <w:p w14:paraId="66496656">
      <w:pPr>
        <w:rPr>
          <w:rFonts w:ascii="仿宋_GB2312" w:eastAsia="仿宋_GB2312"/>
          <w:sz w:val="32"/>
          <w:szCs w:val="32"/>
        </w:rPr>
      </w:pPr>
      <w:r>
        <w:rPr>
          <w:rFonts w:hint="eastAsia" w:ascii="仿宋_GB2312" w:eastAsia="仿宋_GB2312"/>
          <w:sz w:val="32"/>
          <w:szCs w:val="32"/>
        </w:rPr>
        <w:t>2.3流程管控标准化建设</w:t>
      </w:r>
    </w:p>
    <w:p w14:paraId="28E7E48F">
      <w:pPr>
        <w:rPr>
          <w:rFonts w:ascii="仿宋_GB2312" w:eastAsia="仿宋_GB2312"/>
          <w:sz w:val="32"/>
          <w:szCs w:val="32"/>
        </w:rPr>
      </w:pPr>
      <w:r>
        <w:rPr>
          <w:rFonts w:hint="eastAsia" w:ascii="仿宋_GB2312" w:eastAsia="仿宋_GB2312"/>
          <w:sz w:val="32"/>
          <w:szCs w:val="32"/>
        </w:rPr>
        <w:t>2.4构建预算模型</w:t>
      </w:r>
    </w:p>
    <w:p w14:paraId="63380A54">
      <w:pPr>
        <w:rPr>
          <w:rFonts w:ascii="仿宋_GB2312" w:eastAsia="仿宋_GB2312"/>
          <w:sz w:val="32"/>
          <w:szCs w:val="32"/>
        </w:rPr>
      </w:pPr>
      <w:r>
        <w:rPr>
          <w:rFonts w:hint="eastAsia" w:ascii="仿宋_GB2312" w:eastAsia="仿宋_GB2312"/>
          <w:sz w:val="32"/>
          <w:szCs w:val="32"/>
        </w:rPr>
        <w:t>2.5事项建模</w:t>
      </w:r>
    </w:p>
    <w:p w14:paraId="77F1242F">
      <w:pPr>
        <w:rPr>
          <w:rFonts w:ascii="仿宋_GB2312" w:eastAsia="仿宋_GB2312"/>
          <w:sz w:val="32"/>
          <w:szCs w:val="32"/>
        </w:rPr>
      </w:pPr>
      <w:r>
        <w:rPr>
          <w:rFonts w:hint="eastAsia" w:ascii="仿宋_GB2312" w:eastAsia="仿宋_GB2312"/>
          <w:sz w:val="32"/>
          <w:szCs w:val="32"/>
        </w:rPr>
        <w:t>2.6智能化工具应用</w:t>
      </w:r>
    </w:p>
    <w:p w14:paraId="79061FF3">
      <w:pPr>
        <w:rPr>
          <w:rFonts w:ascii="仿宋_GB2312" w:eastAsia="仿宋_GB2312"/>
          <w:sz w:val="32"/>
          <w:szCs w:val="32"/>
        </w:rPr>
      </w:pPr>
      <w:r>
        <w:rPr>
          <w:rFonts w:hint="eastAsia" w:ascii="仿宋_GB2312" w:eastAsia="仿宋_GB2312"/>
          <w:sz w:val="32"/>
          <w:szCs w:val="32"/>
        </w:rPr>
        <w:t>2.7建立“1+N”两级财务共享服务集群，促进财务组织转型</w:t>
      </w:r>
    </w:p>
    <w:p w14:paraId="7B04974C">
      <w:pPr>
        <w:rPr>
          <w:rFonts w:ascii="仿宋_GB2312" w:eastAsia="仿宋_GB2312"/>
          <w:sz w:val="32"/>
          <w:szCs w:val="32"/>
        </w:rPr>
      </w:pPr>
      <w:r>
        <w:rPr>
          <w:rFonts w:hint="eastAsia" w:ascii="仿宋_GB2312" w:eastAsia="仿宋_GB2312"/>
          <w:sz w:val="32"/>
          <w:szCs w:val="32"/>
        </w:rPr>
        <w:t>2.8数据分析体系与平台</w:t>
      </w:r>
    </w:p>
    <w:p w14:paraId="7A2D3FB5">
      <w:pPr>
        <w:rPr>
          <w:rFonts w:ascii="仿宋_GB2312" w:eastAsia="仿宋_GB2312"/>
          <w:b/>
          <w:bCs/>
          <w:sz w:val="32"/>
          <w:szCs w:val="32"/>
        </w:rPr>
      </w:pPr>
      <w:r>
        <w:rPr>
          <w:rFonts w:hint="eastAsia" w:ascii="仿宋_GB2312" w:eastAsia="仿宋_GB2312"/>
          <w:sz w:val="32"/>
          <w:szCs w:val="32"/>
        </w:rPr>
        <w:t>3. 以智能会计为基础的绩效管理价值总结</w:t>
      </w:r>
    </w:p>
    <w:p w14:paraId="34F201C2">
      <w:pPr>
        <w:widowControl/>
        <w:spacing w:before="240" w:after="240" w:line="360" w:lineRule="auto"/>
        <w:contextualSpacing/>
        <w:jc w:val="left"/>
        <w:rPr>
          <w:rFonts w:ascii="仿宋_GB2312" w:eastAsia="仿宋_GB2312"/>
          <w:b/>
          <w:bCs/>
          <w:sz w:val="32"/>
          <w:szCs w:val="32"/>
        </w:rPr>
      </w:pPr>
      <w:r>
        <w:rPr>
          <w:rFonts w:hint="eastAsia" w:ascii="仿宋_GB2312" w:eastAsia="仿宋_GB2312"/>
          <w:b/>
          <w:bCs/>
          <w:sz w:val="32"/>
          <w:szCs w:val="32"/>
        </w:rPr>
        <w:t>（四）把握融合之道 推进价值创造</w:t>
      </w:r>
    </w:p>
    <w:p w14:paraId="433A44D2">
      <w:pPr>
        <w:widowControl/>
        <w:spacing w:before="240" w:after="240" w:line="360" w:lineRule="auto"/>
        <w:contextualSpacing/>
        <w:jc w:val="left"/>
        <w:rPr>
          <w:rFonts w:ascii="仿宋_GB2312" w:eastAsia="仿宋_GB2312"/>
          <w:b/>
          <w:bCs/>
          <w:sz w:val="32"/>
          <w:szCs w:val="32"/>
        </w:rPr>
      </w:pPr>
      <w:r>
        <w:rPr>
          <w:rFonts w:hint="eastAsia" w:ascii="仿宋_GB2312" w:eastAsia="仿宋_GB2312"/>
          <w:b/>
          <w:bCs/>
          <w:sz w:val="32"/>
          <w:szCs w:val="32"/>
        </w:rPr>
        <w:t>——厦门航空业财融合领先实践</w:t>
      </w:r>
    </w:p>
    <w:p w14:paraId="2D6F01DC">
      <w:pPr>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厦门航空持续盈利之道</w:t>
      </w:r>
    </w:p>
    <w:p w14:paraId="16A71909">
      <w:pPr>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厦门航空财务管理之法</w:t>
      </w:r>
    </w:p>
    <w:p w14:paraId="23782605">
      <w:pPr>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.1精细化财务管理理念</w:t>
      </w:r>
    </w:p>
    <w:p w14:paraId="535746B0">
      <w:pPr>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.2大财务管理模式</w:t>
      </w:r>
    </w:p>
    <w:p w14:paraId="563FA29B">
      <w:pPr>
        <w:rPr>
          <w:rFonts w:ascii="仿宋_GB2312" w:eastAsia="仿宋_GB2312"/>
          <w:sz w:val="32"/>
          <w:szCs w:val="32"/>
        </w:rPr>
      </w:pPr>
      <w:r>
        <w:rPr>
          <w:rFonts w:ascii="仿宋_GB2312" w:eastAsia="仿宋_GB2312"/>
          <w:sz w:val="32"/>
          <w:szCs w:val="32"/>
        </w:rPr>
        <w:t>2.3厦航财务管理全景图</w:t>
      </w:r>
    </w:p>
    <w:p w14:paraId="624DF7E3">
      <w:pPr>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厦门航空业财融合之术</w:t>
      </w:r>
    </w:p>
    <w:p w14:paraId="642BA8AA">
      <w:pPr>
        <w:rPr>
          <w:rFonts w:ascii="仿宋_GB2312" w:eastAsia="仿宋_GB2312"/>
          <w:sz w:val="32"/>
          <w:szCs w:val="32"/>
        </w:rPr>
      </w:pPr>
      <w:r>
        <w:rPr>
          <w:rFonts w:ascii="仿宋_GB2312" w:eastAsia="仿宋_GB2312"/>
          <w:sz w:val="32"/>
          <w:szCs w:val="32"/>
        </w:rPr>
        <w:t>3.1与战略融合，管控战略成本</w:t>
      </w:r>
    </w:p>
    <w:p w14:paraId="79F25C7E">
      <w:pPr>
        <w:rPr>
          <w:rFonts w:ascii="仿宋_GB2312" w:eastAsia="仿宋_GB2312"/>
          <w:sz w:val="32"/>
          <w:szCs w:val="32"/>
        </w:rPr>
      </w:pPr>
      <w:r>
        <w:rPr>
          <w:rFonts w:ascii="仿宋_GB2312" w:eastAsia="仿宋_GB2312"/>
          <w:sz w:val="32"/>
          <w:szCs w:val="32"/>
        </w:rPr>
        <w:t>3.2与业务融合，管控运营成本</w:t>
      </w:r>
    </w:p>
    <w:p w14:paraId="61D34CB3">
      <w:pPr>
        <w:rPr>
          <w:rFonts w:ascii="仿宋_GB2312" w:eastAsia="仿宋_GB2312"/>
          <w:sz w:val="32"/>
          <w:szCs w:val="32"/>
        </w:rPr>
      </w:pPr>
      <w:r>
        <w:rPr>
          <w:rFonts w:ascii="仿宋_GB2312" w:eastAsia="仿宋_GB2312"/>
          <w:sz w:val="32"/>
          <w:szCs w:val="32"/>
        </w:rPr>
        <w:t>3.3与多种职能（采购、法律、绩效等)融合，管控经营风险</w:t>
      </w:r>
    </w:p>
    <w:p w14:paraId="023263B2">
      <w:pPr>
        <w:rPr>
          <w:rFonts w:ascii="仿宋_GB2312" w:eastAsia="仿宋_GB2312"/>
          <w:sz w:val="32"/>
          <w:szCs w:val="32"/>
        </w:rPr>
      </w:pPr>
      <w:r>
        <w:rPr>
          <w:rFonts w:ascii="仿宋_GB2312" w:eastAsia="仿宋_GB2312"/>
          <w:sz w:val="32"/>
          <w:szCs w:val="32"/>
        </w:rPr>
        <w:t>3.4与人力资源管理融合，推动机制创新</w:t>
      </w:r>
    </w:p>
    <w:p w14:paraId="62275005">
      <w:pPr>
        <w:rPr>
          <w:rFonts w:ascii="仿宋_GB2312" w:eastAsia="仿宋_GB2312"/>
          <w:sz w:val="32"/>
          <w:szCs w:val="32"/>
        </w:rPr>
      </w:pPr>
      <w:r>
        <w:rPr>
          <w:rFonts w:ascii="仿宋_GB2312" w:eastAsia="仿宋_GB2312"/>
          <w:sz w:val="32"/>
          <w:szCs w:val="32"/>
        </w:rPr>
        <w:t>3.5与数字信息技术融合，走向智能财会</w:t>
      </w:r>
    </w:p>
    <w:p w14:paraId="1935BE0A">
      <w:pPr>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融合+数据，打造厦航财务新质生产力</w:t>
      </w:r>
    </w:p>
    <w:p w14:paraId="3DC85788">
      <w:pPr>
        <w:rPr>
          <w:rFonts w:ascii="仿宋_GB2312" w:eastAsia="仿宋_GB2312"/>
          <w:sz w:val="32"/>
          <w:szCs w:val="32"/>
        </w:rPr>
      </w:pPr>
      <w:r>
        <w:rPr>
          <w:rFonts w:ascii="仿宋_GB2312" w:eastAsia="仿宋_GB2312"/>
          <w:sz w:val="32"/>
          <w:szCs w:val="32"/>
        </w:rPr>
        <w:t>4.1深度淬炼融合能力</w:t>
      </w:r>
    </w:p>
    <w:p w14:paraId="49D2C456">
      <w:pPr>
        <w:rPr>
          <w:rFonts w:ascii="仿宋_GB2312" w:eastAsia="仿宋_GB2312"/>
          <w:sz w:val="32"/>
          <w:szCs w:val="32"/>
        </w:rPr>
      </w:pPr>
      <w:r>
        <w:rPr>
          <w:rFonts w:ascii="仿宋_GB2312" w:eastAsia="仿宋_GB2312"/>
          <w:sz w:val="32"/>
          <w:szCs w:val="32"/>
        </w:rPr>
        <w:t>4.2全面激活数据要素</w:t>
      </w:r>
    </w:p>
    <w:p w14:paraId="35C2FF78">
      <w:pPr>
        <w:rPr>
          <w:rFonts w:ascii="仿宋_GB2312" w:eastAsia="仿宋_GB2312"/>
          <w:sz w:val="32"/>
          <w:szCs w:val="32"/>
        </w:rPr>
      </w:pPr>
      <w:r>
        <w:rPr>
          <w:rFonts w:ascii="仿宋_GB2312" w:eastAsia="仿宋_GB2312"/>
          <w:sz w:val="32"/>
          <w:szCs w:val="32"/>
        </w:rPr>
        <w:t>4.3培育新型财务人员</w:t>
      </w:r>
    </w:p>
    <w:p w14:paraId="14CF6B79">
      <w:pPr>
        <w:rPr>
          <w:rFonts w:ascii="仿宋_GB2312" w:eastAsia="仿宋_GB2312"/>
          <w:b/>
          <w:bCs/>
          <w:sz w:val="32"/>
          <w:szCs w:val="32"/>
        </w:rPr>
      </w:pPr>
      <w:r>
        <w:rPr>
          <w:rFonts w:hint="eastAsia" w:ascii="仿宋_GB2312" w:eastAsia="仿宋_GB2312"/>
          <w:b/>
          <w:bCs/>
          <w:sz w:val="32"/>
          <w:szCs w:val="32"/>
        </w:rPr>
        <w:t>（五）对标标杆企业（现场教学）</w:t>
      </w:r>
    </w:p>
    <w:p w14:paraId="745AC25E">
      <w:pPr>
        <w:rPr>
          <w:rFonts w:ascii="仿宋_GB2312" w:eastAsia="仿宋_GB2312"/>
          <w:b/>
          <w:bCs/>
          <w:sz w:val="32"/>
          <w:szCs w:val="32"/>
        </w:rPr>
      </w:pPr>
      <w:r>
        <w:rPr>
          <w:rFonts w:hint="eastAsia" w:ascii="仿宋_GB2312" w:eastAsia="仿宋_GB2312"/>
          <w:b/>
          <w:bCs/>
          <w:sz w:val="32"/>
          <w:szCs w:val="32"/>
        </w:rPr>
        <w:t>安徽海螺财务服务有限公司（暨海螺水泥财务共享服务中心）</w:t>
      </w:r>
    </w:p>
    <w:p w14:paraId="58DF7FF1">
      <w:pPr>
        <w:rPr>
          <w:rFonts w:ascii="仿宋_GB2312" w:eastAsia="仿宋_GB2312"/>
          <w:sz w:val="32"/>
          <w:szCs w:val="32"/>
        </w:rPr>
      </w:pPr>
      <w:r>
        <w:rPr>
          <w:rFonts w:hint="eastAsia" w:ascii="仿宋_GB2312" w:eastAsia="仿宋_GB2312"/>
          <w:sz w:val="32"/>
          <w:szCs w:val="32"/>
        </w:rPr>
        <w:t>1.把握前瞻趋势，驱动财务转型新篇章</w:t>
      </w:r>
    </w:p>
    <w:p w14:paraId="113C1AB1">
      <w:pPr>
        <w:rPr>
          <w:rFonts w:ascii="仿宋_GB2312" w:eastAsia="仿宋_GB2312"/>
          <w:sz w:val="32"/>
          <w:szCs w:val="32"/>
        </w:rPr>
      </w:pPr>
      <w:r>
        <w:rPr>
          <w:rFonts w:hint="eastAsia" w:ascii="仿宋_GB2312" w:eastAsia="仿宋_GB2312"/>
          <w:sz w:val="32"/>
          <w:szCs w:val="32"/>
        </w:rPr>
        <w:t>1.1海螺水泥财务信息化进程</w:t>
      </w:r>
    </w:p>
    <w:p w14:paraId="49D8BF7B">
      <w:pPr>
        <w:rPr>
          <w:rFonts w:ascii="仿宋_GB2312" w:eastAsia="仿宋_GB2312"/>
          <w:sz w:val="32"/>
          <w:szCs w:val="32"/>
        </w:rPr>
      </w:pPr>
      <w:r>
        <w:rPr>
          <w:rFonts w:hint="eastAsia" w:ascii="仿宋_GB2312" w:eastAsia="仿宋_GB2312"/>
          <w:sz w:val="32"/>
          <w:szCs w:val="32"/>
        </w:rPr>
        <w:t>1.2海螺水泥财务共享中心建设概况</w:t>
      </w:r>
    </w:p>
    <w:p w14:paraId="1B36C0F4">
      <w:pPr>
        <w:rPr>
          <w:rFonts w:ascii="仿宋_GB2312" w:eastAsia="仿宋_GB2312"/>
          <w:sz w:val="32"/>
          <w:szCs w:val="32"/>
        </w:rPr>
      </w:pPr>
      <w:r>
        <w:rPr>
          <w:rFonts w:hint="eastAsia" w:ascii="仿宋_GB2312" w:eastAsia="仿宋_GB2312"/>
          <w:sz w:val="32"/>
          <w:szCs w:val="32"/>
        </w:rPr>
        <w:t>1.3海螺水泥财务共享中心建设内容</w:t>
      </w:r>
    </w:p>
    <w:p w14:paraId="1E95205E">
      <w:pPr>
        <w:rPr>
          <w:rFonts w:ascii="仿宋_GB2312" w:eastAsia="仿宋_GB2312"/>
          <w:sz w:val="32"/>
          <w:szCs w:val="32"/>
        </w:rPr>
      </w:pPr>
      <w:r>
        <w:rPr>
          <w:rFonts w:hint="eastAsia" w:ascii="仿宋_GB2312" w:eastAsia="仿宋_GB2312"/>
          <w:sz w:val="32"/>
          <w:szCs w:val="32"/>
        </w:rPr>
        <w:t>2.坚持创新引领，促进智慧决策新飞跃</w:t>
      </w:r>
    </w:p>
    <w:p w14:paraId="5A0773D0">
      <w:pPr>
        <w:rPr>
          <w:rFonts w:ascii="仿宋_GB2312" w:eastAsia="仿宋_GB2312"/>
          <w:sz w:val="32"/>
          <w:szCs w:val="32"/>
        </w:rPr>
      </w:pPr>
      <w:r>
        <w:rPr>
          <w:rFonts w:hint="eastAsia" w:ascii="仿宋_GB2312" w:eastAsia="仿宋_GB2312"/>
          <w:sz w:val="32"/>
          <w:szCs w:val="32"/>
        </w:rPr>
        <w:t>2.1海螺水泥财务共享中心主要创新点</w:t>
      </w:r>
    </w:p>
    <w:p w14:paraId="6AF2DF35">
      <w:pPr>
        <w:rPr>
          <w:rFonts w:ascii="仿宋_GB2312" w:eastAsia="仿宋_GB2312"/>
          <w:sz w:val="32"/>
          <w:szCs w:val="32"/>
        </w:rPr>
      </w:pPr>
      <w:r>
        <w:rPr>
          <w:rFonts w:hint="eastAsia" w:ascii="仿宋_GB2312" w:eastAsia="仿宋_GB2312"/>
          <w:sz w:val="32"/>
          <w:szCs w:val="32"/>
        </w:rPr>
        <w:t>2.2海螺水泥财务共享中心主要成果</w:t>
      </w:r>
    </w:p>
    <w:p w14:paraId="0269DCA2">
      <w:pPr>
        <w:rPr>
          <w:rFonts w:ascii="仿宋_GB2312" w:eastAsia="仿宋_GB2312"/>
          <w:sz w:val="32"/>
          <w:szCs w:val="32"/>
        </w:rPr>
      </w:pPr>
      <w:r>
        <w:rPr>
          <w:rFonts w:hint="eastAsia" w:ascii="仿宋_GB2312" w:eastAsia="仿宋_GB2312"/>
          <w:sz w:val="32"/>
          <w:szCs w:val="32"/>
        </w:rPr>
        <w:t>2.3海螺水泥财务共享中心应用情况</w:t>
      </w:r>
    </w:p>
    <w:p w14:paraId="3241E761">
      <w:pPr>
        <w:rPr>
          <w:rFonts w:ascii="仿宋_GB2312" w:eastAsia="仿宋_GB2312"/>
          <w:sz w:val="32"/>
          <w:szCs w:val="32"/>
        </w:rPr>
      </w:pPr>
      <w:r>
        <w:rPr>
          <w:rFonts w:hint="eastAsia" w:ascii="仿宋_GB2312" w:eastAsia="仿宋_GB2312"/>
          <w:sz w:val="32"/>
          <w:szCs w:val="32"/>
        </w:rPr>
        <w:t>3.引领未来方向，共创财务生态新纪元</w:t>
      </w:r>
    </w:p>
    <w:p w14:paraId="25563462">
      <w:pPr>
        <w:rPr>
          <w:rFonts w:ascii="仿宋_GB2312" w:eastAsia="仿宋_GB2312"/>
          <w:sz w:val="32"/>
          <w:szCs w:val="32"/>
        </w:rPr>
      </w:pPr>
      <w:r>
        <w:rPr>
          <w:rFonts w:hint="eastAsia" w:ascii="仿宋_GB2312" w:eastAsia="仿宋_GB2312"/>
          <w:sz w:val="32"/>
          <w:szCs w:val="32"/>
        </w:rPr>
        <w:t>3.1数据强基谱新篇</w:t>
      </w:r>
    </w:p>
    <w:p w14:paraId="77244A4C">
      <w:pPr>
        <w:rPr>
          <w:rFonts w:ascii="仿宋_GB2312" w:eastAsia="仿宋_GB2312"/>
          <w:sz w:val="32"/>
          <w:szCs w:val="32"/>
        </w:rPr>
      </w:pPr>
      <w:r>
        <w:rPr>
          <w:rFonts w:hint="eastAsia" w:ascii="仿宋_GB2312" w:eastAsia="仿宋_GB2312"/>
          <w:sz w:val="32"/>
          <w:szCs w:val="32"/>
        </w:rPr>
        <w:t>3.2未来研究方向</w:t>
      </w:r>
    </w:p>
    <w:p w14:paraId="46433660">
      <w:pPr>
        <w:spacing w:line="360" w:lineRule="auto"/>
        <w:rPr>
          <w:rFonts w:ascii="仿宋_GB2312" w:hAnsi="宋体" w:eastAsia="仿宋_GB2312"/>
          <w:b/>
          <w:sz w:val="32"/>
          <w:szCs w:val="32"/>
        </w:rPr>
      </w:pPr>
      <w:r>
        <w:rPr>
          <w:rFonts w:hint="eastAsia" w:ascii="仿宋_GB2312" w:hAnsi="宋体" w:eastAsia="仿宋_GB2312"/>
          <w:b/>
          <w:sz w:val="32"/>
          <w:szCs w:val="32"/>
        </w:rPr>
        <w:t>五、拟邀师资</w:t>
      </w:r>
    </w:p>
    <w:p w14:paraId="1B89E8F4">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杨老师（课程主任）：上海国家会计学院教授，博士生导师，华中科技大学博士，上海国家会计学院与上海财经大学联合培养工商管理博士后，财政部财政大数据人才库专家、中总协智能财务专业委员会委员、上海企业发展服务专家、智能财务研究院秘书长。为国家税务总局、国家烟草总局、总会高端央企班、财政部中青班注会类、省市企业会计领军人才、省市注册会计师领军人才、省市总会计师领军人才、国有企业中高级财务管理人才等企事业单位提供了财务共享服务建设实践、智能财务建设与实践、财务数智化转型、业财融合、司库管理等高端课程。长期为大中型企业提供咨询服务。</w:t>
      </w:r>
    </w:p>
    <w:p w14:paraId="14BA9795">
      <w:pPr>
        <w:pStyle w:val="49"/>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付老师：用友网络副总裁，中国总会计师协会特级管理会计师，中国财政部第二届、第三届、第四届管理会计咨询特聘专家，中国总会计师协会理事、信息化分会副会长，中国管理会计50人论坛成员，中央财经大学客座教授，中国人民大学商学院客座教授。</w:t>
      </w:r>
    </w:p>
    <w:p w14:paraId="5555F8C8">
      <w:pPr>
        <w:pStyle w:val="49"/>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彭老师：注册会计师、高级会计师，现任湖南建设投资集团财务管理部副部长，擅长领域：集团智能会计体系、全面绩效管理智能应用、财务风控体系、税务风险管理等。</w:t>
      </w:r>
    </w:p>
    <w:p w14:paraId="5E35FFB3">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冯老师：厦门航空规划财务部总经理。</w:t>
      </w:r>
    </w:p>
    <w:p w14:paraId="589F5735">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汪老师：高级管理会计师，现任安徽海螺财务服务有限公司高管。拥有20年国有企业、世界500强企业财税管理实战经验，曾主导多个中央预算内资金项目、数智化创新项目，有效推动传统产业向“优”“新”“绿”改造提升，是制造行业财务数字化转型与智能财务专家。</w:t>
      </w:r>
    </w:p>
    <w:p w14:paraId="73E17CA5">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金老师：用友网络财务共享领域高级专家。曾任职GE、埃森哲、江森自控、平安集团等知名企业，拥有20多年世界500强企业财务领域及共享服务中心的咨询、建设、运营经验。</w:t>
      </w:r>
    </w:p>
    <w:p w14:paraId="2C77B177">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以及其他资深专家。</w:t>
      </w:r>
    </w:p>
    <w:p w14:paraId="06DFEEE3">
      <w:pPr>
        <w:spacing w:line="360" w:lineRule="auto"/>
        <w:rPr>
          <w:rFonts w:ascii="仿宋_GB2312" w:hAnsi="宋体" w:eastAsia="仿宋_GB2312"/>
          <w:b/>
          <w:sz w:val="32"/>
          <w:szCs w:val="32"/>
        </w:rPr>
      </w:pPr>
      <w:r>
        <w:rPr>
          <w:rFonts w:hint="eastAsia" w:ascii="仿宋_GB2312" w:hAnsi="宋体" w:eastAsia="仿宋_GB2312"/>
          <w:b/>
          <w:sz w:val="32"/>
          <w:szCs w:val="32"/>
        </w:rPr>
        <w:t>六、收费标准</w:t>
      </w:r>
    </w:p>
    <w:p w14:paraId="57DC26F9">
      <w:pPr>
        <w:spacing w:line="360" w:lineRule="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1.培训费：5800元/人</w:t>
      </w:r>
    </w:p>
    <w:p w14:paraId="33CFF440">
      <w:pPr>
        <w:spacing w:line="360" w:lineRule="auto"/>
        <w:rPr>
          <w:rFonts w:ascii="仿宋_GB2312" w:hAnsi="宋体" w:eastAsia="仿宋_GB2312"/>
          <w:sz w:val="32"/>
          <w:szCs w:val="32"/>
        </w:rPr>
      </w:pPr>
      <w:r>
        <w:rPr>
          <w:rFonts w:hint="eastAsia" w:ascii="仿宋_GB2312" w:hAnsi="宋体" w:eastAsia="仿宋_GB2312"/>
          <w:sz w:val="32"/>
          <w:szCs w:val="32"/>
        </w:rPr>
        <w:t>2.食宿统一安排，费用自理，具体标准以开课通知为准。</w:t>
      </w:r>
    </w:p>
    <w:p w14:paraId="4BDA1444">
      <w:pPr>
        <w:spacing w:line="360" w:lineRule="auto"/>
        <w:rPr>
          <w:rFonts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14:paraId="08484674">
      <w:pPr>
        <w:spacing w:line="360" w:lineRule="auto"/>
        <w:rPr>
          <w:rFonts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14:paraId="57C38A22">
      <w:pPr>
        <w:widowControl/>
        <w:spacing w:line="360" w:lineRule="auto"/>
        <w:jc w:val="left"/>
        <w:rPr>
          <w:rFonts w:ascii="仿宋_GB2312" w:hAnsi="宋体" w:eastAsia="仿宋_GB2312"/>
          <w:b/>
          <w:color w:val="000000"/>
          <w:sz w:val="32"/>
          <w:szCs w:val="32"/>
        </w:rPr>
      </w:pPr>
      <w:r>
        <w:rPr>
          <w:rFonts w:hint="eastAsia" w:ascii="仿宋_GB2312" w:hAnsi="宋体" w:eastAsia="仿宋_GB2312"/>
          <w:b/>
          <w:color w:val="000000"/>
          <w:sz w:val="32"/>
          <w:szCs w:val="32"/>
        </w:rPr>
        <w:t>七、结业证书</w:t>
      </w:r>
    </w:p>
    <w:p w14:paraId="03972AD3">
      <w:pPr>
        <w:spacing w:line="360" w:lineRule="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培训班结束后由学院颁发结业证书，并</w:t>
      </w:r>
      <w:r>
        <w:rPr>
          <w:rFonts w:hint="eastAsia" w:ascii="仿宋_GB2312" w:hAnsi="宋体" w:eastAsia="仿宋_GB2312"/>
          <w:color w:val="000000" w:themeColor="text1"/>
          <w:sz w:val="32"/>
          <w:szCs w:val="32"/>
          <w14:textFill>
            <w14:solidFill>
              <w14:schemeClr w14:val="tx1"/>
            </w14:solidFill>
          </w14:textFill>
        </w:rPr>
        <w:t>注明学时。继续教育学时认定事宜，烦请学员咨询当地主管部门。</w:t>
      </w:r>
    </w:p>
    <w:p w14:paraId="5952866A">
      <w:pPr>
        <w:widowControl/>
        <w:spacing w:line="360" w:lineRule="auto"/>
        <w:ind w:left="320" w:hanging="321" w:hangingChars="100"/>
        <w:jc w:val="left"/>
        <w:rPr>
          <w:rFonts w:ascii="仿宋_GB2312" w:hAnsi="宋体" w:eastAsia="仿宋_GB2312"/>
          <w:b/>
          <w:bCs/>
          <w:color w:val="000000"/>
          <w:sz w:val="32"/>
          <w:szCs w:val="32"/>
        </w:rPr>
      </w:pPr>
      <w:r>
        <w:rPr>
          <w:rFonts w:hint="eastAsia" w:ascii="仿宋_GB2312" w:hAnsi="宋体" w:eastAsia="仿宋_GB2312"/>
          <w:b/>
          <w:bCs/>
          <w:color w:val="000000"/>
          <w:sz w:val="32"/>
          <w:szCs w:val="32"/>
        </w:rPr>
        <w:t>八、报名咨询</w:t>
      </w:r>
    </w:p>
    <w:p w14:paraId="4DFB7F54">
      <w:pPr>
        <w:spacing w:line="360" w:lineRule="auto"/>
        <w:rPr>
          <w:rFonts w:ascii="仿宋_GB2312" w:hAnsi="宋体" w:eastAsia="仿宋_GB2312"/>
          <w:sz w:val="32"/>
          <w:szCs w:val="32"/>
        </w:rPr>
      </w:pPr>
      <w:r>
        <w:rPr>
          <w:rFonts w:hint="eastAsia" w:ascii="仿宋_GB2312" w:hAnsi="宋体" w:eastAsia="仿宋_GB2312"/>
          <w:sz w:val="32"/>
          <w:szCs w:val="32"/>
        </w:rPr>
        <w:t>请参加人员填写《报名表》（附后），我们将在开课前一周向报名学员发送《开课通知》。</w:t>
      </w:r>
    </w:p>
    <w:p w14:paraId="445085CB">
      <w:pPr>
        <w:spacing w:line="360" w:lineRule="auto"/>
        <w:rPr>
          <w:rFonts w:ascii="仿宋_GB2312" w:hAnsi="宋体" w:eastAsia="仿宋_GB2312"/>
          <w:sz w:val="32"/>
          <w:szCs w:val="32"/>
        </w:rPr>
      </w:pPr>
      <w:r>
        <w:rPr>
          <w:rFonts w:hint="eastAsia" w:ascii="仿宋_GB2312" w:hAnsi="宋体" w:eastAsia="仿宋_GB2312"/>
          <w:sz w:val="32"/>
          <w:szCs w:val="32"/>
        </w:rPr>
        <w:t>报名咨询</w:t>
      </w:r>
    </w:p>
    <w:p w14:paraId="60299323">
      <w:pPr>
        <w:spacing w:line="360" w:lineRule="auto"/>
        <w:rPr>
          <w:rFonts w:ascii="仿宋_GB2312" w:hAnsi="宋体" w:eastAsia="仿宋_GB2312"/>
          <w:sz w:val="32"/>
          <w:szCs w:val="32"/>
        </w:rPr>
      </w:pPr>
      <w:r>
        <w:rPr>
          <w:rFonts w:hint="eastAsia" w:ascii="仿宋_GB2312" w:hAnsi="宋体" w:eastAsia="仿宋_GB2312"/>
          <w:sz w:val="32"/>
          <w:szCs w:val="32"/>
        </w:rPr>
        <w:t>联系人：黄老师18610843353（同微信）</w:t>
      </w:r>
    </w:p>
    <w:p w14:paraId="35FE901D">
      <w:pPr>
        <w:spacing w:line="360" w:lineRule="auto"/>
        <w:rPr>
          <w:rFonts w:ascii="仿宋_GB2312" w:hAnsi="宋体" w:eastAsia="仿宋_GB2312"/>
          <w:sz w:val="32"/>
          <w:szCs w:val="32"/>
        </w:rPr>
      </w:pPr>
      <w:r>
        <w:rPr>
          <w:rFonts w:hint="eastAsia" w:ascii="仿宋_GB2312" w:hAnsi="宋体" w:eastAsia="仿宋_GB2312"/>
          <w:sz w:val="32"/>
          <w:szCs w:val="32"/>
        </w:rPr>
        <w:t>邮  箱：</w:t>
      </w:r>
      <w:r>
        <w:fldChar w:fldCharType="begin"/>
      </w:r>
      <w:r>
        <w:instrText xml:space="preserve"> HYPERLINK "mailto:284828890@qq.com" </w:instrText>
      </w:r>
      <w:r>
        <w:fldChar w:fldCharType="separate"/>
      </w:r>
      <w:r>
        <w:rPr>
          <w:rStyle w:val="21"/>
          <w:rFonts w:hint="eastAsia" w:ascii="仿宋_GB2312" w:hAnsi="宋体" w:eastAsia="仿宋_GB2312"/>
          <w:sz w:val="32"/>
          <w:szCs w:val="32"/>
        </w:rPr>
        <w:t>284828890@qq.com</w:t>
      </w:r>
      <w:r>
        <w:rPr>
          <w:rStyle w:val="21"/>
          <w:rFonts w:hint="eastAsia" w:ascii="仿宋_GB2312" w:hAnsi="宋体" w:eastAsia="仿宋_GB2312"/>
          <w:sz w:val="32"/>
          <w:szCs w:val="32"/>
        </w:rPr>
        <w:fldChar w:fldCharType="end"/>
      </w:r>
    </w:p>
    <w:p w14:paraId="01EB7FAE">
      <w:pPr>
        <w:spacing w:line="360" w:lineRule="auto"/>
        <w:rPr>
          <w:rFonts w:ascii="仿宋_GB2312" w:hAnsi="宋体" w:eastAsia="仿宋_GB2312"/>
          <w:sz w:val="32"/>
          <w:szCs w:val="32"/>
        </w:rPr>
      </w:pPr>
      <w:r>
        <w:rPr>
          <w:rFonts w:hint="eastAsia" w:ascii="仿宋_GB2312" w:hAnsi="宋体" w:eastAsia="仿宋_GB2312"/>
          <w:sz w:val="32"/>
          <w:szCs w:val="32"/>
        </w:rPr>
        <w:t>课程咨询</w:t>
      </w:r>
    </w:p>
    <w:p w14:paraId="428DF334">
      <w:pPr>
        <w:spacing w:line="360" w:lineRule="auto"/>
        <w:rPr>
          <w:rFonts w:ascii="仿宋_GB2312" w:hAnsi="宋体" w:eastAsia="仿宋_GB2312"/>
          <w:sz w:val="32"/>
          <w:szCs w:val="32"/>
        </w:rPr>
      </w:pPr>
      <w:r>
        <w:rPr>
          <w:rFonts w:hint="eastAsia" w:ascii="仿宋_GB2312" w:hAnsi="宋体" w:eastAsia="仿宋_GB2312"/>
          <w:sz w:val="32"/>
          <w:szCs w:val="32"/>
        </w:rPr>
        <w:t>联系人：曹老师 021-39768032</w:t>
      </w:r>
    </w:p>
    <w:p w14:paraId="5AB7E630">
      <w:pPr>
        <w:spacing w:line="360" w:lineRule="auto"/>
        <w:rPr>
          <w:rFonts w:ascii="仿宋_GB2312" w:hAnsi="宋体" w:eastAsia="仿宋_GB2312"/>
          <w:sz w:val="32"/>
          <w:szCs w:val="32"/>
        </w:rPr>
      </w:pPr>
      <w:r>
        <w:rPr>
          <w:rFonts w:hint="eastAsia" w:ascii="仿宋_GB2312" w:hAnsi="宋体" w:eastAsia="仿宋_GB2312"/>
          <w:sz w:val="32"/>
          <w:szCs w:val="32"/>
        </w:rPr>
        <w:t>邮  箱：</w:t>
      </w:r>
      <w:r>
        <w:fldChar w:fldCharType="begin"/>
      </w:r>
      <w:r>
        <w:instrText xml:space="preserve"> HYPERLINK "mailto:qiaobocao@snai.edu" </w:instrText>
      </w:r>
      <w:r>
        <w:fldChar w:fldCharType="separate"/>
      </w:r>
      <w:r>
        <w:rPr>
          <w:rStyle w:val="21"/>
          <w:rFonts w:hint="eastAsia" w:ascii="仿宋_GB2312" w:hAnsi="宋体" w:eastAsia="仿宋_GB2312"/>
          <w:sz w:val="32"/>
          <w:szCs w:val="32"/>
        </w:rPr>
        <w:t>qiaobocao@snai.edu</w:t>
      </w:r>
      <w:r>
        <w:rPr>
          <w:rStyle w:val="21"/>
          <w:rFonts w:hint="eastAsia" w:ascii="仿宋_GB2312" w:hAnsi="宋体" w:eastAsia="仿宋_GB2312"/>
          <w:sz w:val="32"/>
          <w:szCs w:val="32"/>
        </w:rPr>
        <w:fldChar w:fldCharType="end"/>
      </w:r>
    </w:p>
    <w:p w14:paraId="5C06972D">
      <w:pPr>
        <w:spacing w:line="360" w:lineRule="auto"/>
        <w:rPr>
          <w:rFonts w:ascii="仿宋_GB2312" w:hAnsi="宋体" w:eastAsia="仿宋_GB2312"/>
          <w:sz w:val="32"/>
          <w:szCs w:val="32"/>
        </w:rPr>
      </w:pPr>
    </w:p>
    <w:p w14:paraId="77EF7336">
      <w:pPr>
        <w:spacing w:line="360" w:lineRule="auto"/>
        <w:rPr>
          <w:rFonts w:ascii="仿宋_GB2312" w:hAnsi="宋体" w:eastAsia="仿宋_GB2312"/>
          <w:sz w:val="32"/>
          <w:szCs w:val="32"/>
        </w:rPr>
      </w:pPr>
    </w:p>
    <w:p w14:paraId="0D92628E">
      <w:pPr>
        <w:spacing w:line="360" w:lineRule="auto"/>
        <w:rPr>
          <w:rFonts w:ascii="仿宋_GB2312" w:hAnsi="宋体" w:eastAsia="仿宋_GB2312"/>
          <w:sz w:val="32"/>
          <w:szCs w:val="32"/>
        </w:rPr>
      </w:pPr>
    </w:p>
    <w:p w14:paraId="259AAB28">
      <w:pPr>
        <w:spacing w:line="360" w:lineRule="auto"/>
        <w:rPr>
          <w:rFonts w:ascii="仿宋_GB2312" w:hAnsi="宋体" w:eastAsia="仿宋_GB2312"/>
          <w:sz w:val="32"/>
          <w:szCs w:val="32"/>
        </w:rPr>
      </w:pPr>
    </w:p>
    <w:p w14:paraId="726827E7">
      <w:pPr>
        <w:spacing w:line="360" w:lineRule="auto"/>
        <w:rPr>
          <w:rFonts w:ascii="仿宋_GB2312" w:hAnsi="宋体" w:eastAsia="仿宋_GB2312"/>
          <w:sz w:val="32"/>
          <w:szCs w:val="32"/>
        </w:rPr>
      </w:pPr>
    </w:p>
    <w:p w14:paraId="22112757">
      <w:pPr>
        <w:spacing w:line="360" w:lineRule="auto"/>
        <w:rPr>
          <w:rFonts w:ascii="仿宋_GB2312" w:hAnsi="宋体" w:eastAsia="仿宋_GB2312"/>
          <w:sz w:val="32"/>
          <w:szCs w:val="32"/>
        </w:rPr>
      </w:pPr>
      <w:bookmarkStart w:id="0" w:name="_GoBack"/>
      <w:bookmarkEnd w:id="0"/>
    </w:p>
    <w:p w14:paraId="03E28E17">
      <w:pPr>
        <w:widowControl/>
        <w:tabs>
          <w:tab w:val="center" w:pos="4766"/>
          <w:tab w:val="left" w:pos="6716"/>
        </w:tabs>
        <w:spacing w:line="480" w:lineRule="exact"/>
        <w:rPr>
          <w:rFonts w:ascii="黑体" w:hAnsi="黑体" w:eastAsia="黑体"/>
          <w:b/>
          <w:bCs/>
          <w:color w:val="000000"/>
          <w:sz w:val="32"/>
          <w:szCs w:val="32"/>
        </w:rPr>
      </w:pPr>
      <w:r>
        <w:rPr>
          <w:rFonts w:hint="eastAsia" w:ascii="黑体" w:hAnsi="黑体" w:eastAsia="黑体"/>
          <w:b/>
          <w:bCs/>
          <w:color w:val="000000"/>
          <w:sz w:val="32"/>
          <w:szCs w:val="32"/>
        </w:rPr>
        <w:t>附件二：</w:t>
      </w:r>
    </w:p>
    <w:p w14:paraId="2571BBAF">
      <w:pPr>
        <w:widowControl/>
        <w:tabs>
          <w:tab w:val="center" w:pos="4766"/>
          <w:tab w:val="left" w:pos="6716"/>
        </w:tabs>
        <w:spacing w:line="480" w:lineRule="exac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上海国家会计学院</w:t>
      </w:r>
    </w:p>
    <w:p w14:paraId="1739EC50">
      <w:pPr>
        <w:widowControl/>
        <w:tabs>
          <w:tab w:val="center" w:pos="4766"/>
          <w:tab w:val="left" w:pos="6716"/>
        </w:tabs>
        <w:spacing w:line="480" w:lineRule="exac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“全域业财融合：</w:t>
      </w:r>
    </w:p>
    <w:p w14:paraId="242B7455">
      <w:pPr>
        <w:widowControl/>
        <w:tabs>
          <w:tab w:val="center" w:pos="4766"/>
          <w:tab w:val="left" w:pos="6716"/>
        </w:tabs>
        <w:spacing w:line="480" w:lineRule="exac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AI赋能与数据驱动的财务价值创造课程”</w:t>
      </w:r>
    </w:p>
    <w:p w14:paraId="321AAE5B">
      <w:pPr>
        <w:widowControl/>
        <w:tabs>
          <w:tab w:val="center" w:pos="4766"/>
          <w:tab w:val="left" w:pos="6716"/>
        </w:tabs>
        <w:spacing w:line="480" w:lineRule="exac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报名表</w:t>
      </w:r>
    </w:p>
    <w:p w14:paraId="449FABDB">
      <w:pPr>
        <w:widowControl/>
        <w:tabs>
          <w:tab w:val="center" w:pos="4766"/>
          <w:tab w:val="left" w:pos="6716"/>
        </w:tabs>
        <w:spacing w:line="440" w:lineRule="exact"/>
        <w:jc w:val="center"/>
        <w:rPr>
          <w:rFonts w:ascii="宋体" w:hAnsi="宋体" w:cs="微软雅黑"/>
          <w:b/>
          <w:bCs/>
          <w:color w:val="000000"/>
          <w:sz w:val="36"/>
          <w:szCs w:val="36"/>
        </w:rPr>
      </w:pPr>
    </w:p>
    <w:tbl>
      <w:tblPr>
        <w:tblStyle w:val="19"/>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14:paraId="155CEACF">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90BF62">
            <w:pPr>
              <w:autoSpaceDN w:val="0"/>
              <w:spacing w:before="156" w:after="156"/>
              <w:jc w:val="center"/>
              <w:rPr>
                <w:rFonts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0AEFBD">
            <w:pPr>
              <w:wordWrap w:val="0"/>
              <w:autoSpaceDN w:val="0"/>
              <w:ind w:right="960"/>
              <w:rPr>
                <w:rFonts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769BF707">
            <w:pPr>
              <w:wordWrap w:val="0"/>
              <w:autoSpaceDN w:val="0"/>
              <w:ind w:right="211"/>
              <w:jc w:val="right"/>
              <w:rPr>
                <w:rFonts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14:paraId="5860D1C9">
            <w:pPr>
              <w:wordWrap w:val="0"/>
              <w:autoSpaceDN w:val="0"/>
              <w:ind w:right="211"/>
              <w:jc w:val="right"/>
              <w:rPr>
                <w:rFonts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14:paraId="37D1CB24">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8B20F">
            <w:pPr>
              <w:tabs>
                <w:tab w:val="left" w:pos="360"/>
                <w:tab w:val="left" w:pos="540"/>
              </w:tabs>
              <w:wordWrap w:val="0"/>
              <w:autoSpaceDN w:val="0"/>
              <w:spacing w:before="156" w:after="156"/>
              <w:jc w:val="center"/>
              <w:rPr>
                <w:rFonts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3BF64">
            <w:pPr>
              <w:tabs>
                <w:tab w:val="left" w:pos="360"/>
                <w:tab w:val="left" w:pos="540"/>
              </w:tabs>
              <w:wordWrap w:val="0"/>
              <w:autoSpaceDN w:val="0"/>
              <w:jc w:val="center"/>
              <w:rPr>
                <w:rFonts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924647">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709F01A9">
            <w:pPr>
              <w:tabs>
                <w:tab w:val="left" w:pos="360"/>
                <w:tab w:val="left" w:pos="540"/>
              </w:tabs>
              <w:wordWrap w:val="0"/>
              <w:autoSpaceDN w:val="0"/>
              <w:ind w:left="27"/>
              <w:jc w:val="center"/>
              <w:rPr>
                <w:rFonts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1F0F9194">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350A4DF">
            <w:pPr>
              <w:tabs>
                <w:tab w:val="left" w:pos="360"/>
                <w:tab w:val="left" w:pos="540"/>
              </w:tabs>
              <w:wordWrap w:val="0"/>
              <w:autoSpaceDN w:val="0"/>
              <w:ind w:left="27"/>
              <w:jc w:val="center"/>
              <w:rPr>
                <w:rFonts w:ascii="宋体" w:hAnsi="宋体"/>
                <w:color w:val="000000"/>
                <w:szCs w:val="21"/>
              </w:rPr>
            </w:pPr>
          </w:p>
        </w:tc>
      </w:tr>
      <w:tr w14:paraId="5EDDA05C">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6AEC8A">
            <w:pPr>
              <w:tabs>
                <w:tab w:val="left" w:pos="360"/>
                <w:tab w:val="left" w:pos="540"/>
              </w:tabs>
              <w:wordWrap w:val="0"/>
              <w:autoSpaceDN w:val="0"/>
              <w:spacing w:before="156" w:after="156"/>
              <w:jc w:val="center"/>
              <w:rPr>
                <w:rFonts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01100C">
            <w:pPr>
              <w:tabs>
                <w:tab w:val="left" w:pos="360"/>
                <w:tab w:val="left" w:pos="540"/>
              </w:tabs>
              <w:wordWrap w:val="0"/>
              <w:autoSpaceDN w:val="0"/>
              <w:jc w:val="center"/>
              <w:rPr>
                <w:rFonts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D172C0">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C2C1A26">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2F3FAF3">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4EEF946">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r>
      <w:tr w14:paraId="786A3C7E">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DD085">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157C1E">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78A35">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478DB7AB">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2CBFF9A">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71980AE">
            <w:pPr>
              <w:tabs>
                <w:tab w:val="left" w:pos="360"/>
                <w:tab w:val="left" w:pos="540"/>
              </w:tabs>
              <w:wordWrap w:val="0"/>
              <w:autoSpaceDN w:val="0"/>
              <w:ind w:left="27"/>
              <w:jc w:val="center"/>
              <w:rPr>
                <w:rFonts w:ascii="仿宋" w:hAnsi="仿宋" w:eastAsia="仿宋"/>
                <w:b/>
                <w:color w:val="000000"/>
                <w:szCs w:val="21"/>
              </w:rPr>
            </w:pPr>
          </w:p>
        </w:tc>
      </w:tr>
      <w:tr w14:paraId="1C6AD632">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9FB133">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DBBEE">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FF8175">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A166A33">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8F51ABE">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E0FBA4C">
            <w:pPr>
              <w:tabs>
                <w:tab w:val="left" w:pos="360"/>
                <w:tab w:val="left" w:pos="540"/>
              </w:tabs>
              <w:wordWrap w:val="0"/>
              <w:autoSpaceDN w:val="0"/>
              <w:ind w:left="27"/>
              <w:jc w:val="center"/>
              <w:rPr>
                <w:rFonts w:ascii="仿宋" w:hAnsi="仿宋" w:eastAsia="仿宋"/>
                <w:b/>
                <w:color w:val="000000"/>
                <w:szCs w:val="21"/>
              </w:rPr>
            </w:pPr>
          </w:p>
        </w:tc>
      </w:tr>
      <w:tr w14:paraId="2CBA79EC">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7F4CF">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678F53">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F25318">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16AA7CC">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3B3FC0D">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6AD94860">
            <w:pPr>
              <w:tabs>
                <w:tab w:val="left" w:pos="360"/>
                <w:tab w:val="left" w:pos="540"/>
              </w:tabs>
              <w:wordWrap w:val="0"/>
              <w:autoSpaceDN w:val="0"/>
              <w:ind w:left="27"/>
              <w:jc w:val="center"/>
              <w:rPr>
                <w:rFonts w:ascii="仿宋" w:hAnsi="仿宋" w:eastAsia="仿宋"/>
                <w:b/>
                <w:color w:val="000000"/>
                <w:szCs w:val="21"/>
              </w:rPr>
            </w:pPr>
          </w:p>
        </w:tc>
      </w:tr>
      <w:tr w14:paraId="2F2312A8">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E40D8F">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E8CA9E">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B1D48F">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1343E87">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1C4F8CF3">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2DEF9D4">
            <w:pPr>
              <w:tabs>
                <w:tab w:val="left" w:pos="360"/>
                <w:tab w:val="left" w:pos="540"/>
              </w:tabs>
              <w:wordWrap w:val="0"/>
              <w:autoSpaceDN w:val="0"/>
              <w:ind w:left="27"/>
              <w:jc w:val="center"/>
              <w:rPr>
                <w:rFonts w:ascii="仿宋" w:hAnsi="仿宋" w:eastAsia="仿宋"/>
                <w:b/>
                <w:color w:val="000000"/>
                <w:szCs w:val="21"/>
              </w:rPr>
            </w:pPr>
          </w:p>
        </w:tc>
      </w:tr>
      <w:tr w14:paraId="6463BC2C">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F8C4C">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063492">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1BB3B6">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3FCA0B88">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5294602">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B6FA041">
            <w:pPr>
              <w:tabs>
                <w:tab w:val="left" w:pos="360"/>
                <w:tab w:val="left" w:pos="540"/>
              </w:tabs>
              <w:wordWrap w:val="0"/>
              <w:autoSpaceDN w:val="0"/>
              <w:ind w:left="27"/>
              <w:jc w:val="center"/>
              <w:rPr>
                <w:rFonts w:ascii="仿宋" w:hAnsi="仿宋" w:eastAsia="仿宋"/>
                <w:b/>
                <w:color w:val="000000"/>
                <w:szCs w:val="21"/>
              </w:rPr>
            </w:pPr>
          </w:p>
        </w:tc>
      </w:tr>
      <w:tr w14:paraId="22969414">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36C6AA">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704A11">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D62DA4">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EA1C0A5">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E68727F">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7FD7C4F">
            <w:pPr>
              <w:tabs>
                <w:tab w:val="left" w:pos="360"/>
                <w:tab w:val="left" w:pos="540"/>
              </w:tabs>
              <w:wordWrap w:val="0"/>
              <w:autoSpaceDN w:val="0"/>
              <w:ind w:left="27"/>
              <w:jc w:val="center"/>
              <w:rPr>
                <w:rFonts w:ascii="仿宋" w:hAnsi="仿宋" w:eastAsia="仿宋"/>
                <w:b/>
                <w:color w:val="000000"/>
                <w:szCs w:val="21"/>
              </w:rPr>
            </w:pPr>
          </w:p>
        </w:tc>
      </w:tr>
      <w:tr w14:paraId="3E6B7840">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B91A5">
            <w:pPr>
              <w:tabs>
                <w:tab w:val="left" w:pos="360"/>
                <w:tab w:val="left" w:pos="540"/>
              </w:tabs>
              <w:wordWrap w:val="0"/>
              <w:autoSpaceDN w:val="0"/>
              <w:rPr>
                <w:rFonts w:ascii="宋体" w:hAnsi="宋体"/>
                <w:b/>
                <w:color w:val="000000"/>
                <w:szCs w:val="21"/>
              </w:rPr>
            </w:pPr>
            <w:r>
              <w:rPr>
                <w:rFonts w:hint="eastAsia" w:ascii="宋体" w:hAnsi="宋体"/>
                <w:b/>
                <w:color w:val="000000"/>
                <w:szCs w:val="21"/>
              </w:rPr>
              <w:t>报名程序：</w:t>
            </w:r>
          </w:p>
          <w:p w14:paraId="07CF1A45">
            <w:pPr>
              <w:tabs>
                <w:tab w:val="left" w:pos="360"/>
                <w:tab w:val="left" w:pos="540"/>
              </w:tabs>
              <w:autoSpaceDN w:val="0"/>
              <w:ind w:left="27"/>
              <w:jc w:val="left"/>
              <w:rPr>
                <w:rFonts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2F8CCE">
            <w:pPr>
              <w:tabs>
                <w:tab w:val="left" w:pos="360"/>
                <w:tab w:val="left" w:pos="540"/>
              </w:tabs>
              <w:wordWrap w:val="0"/>
              <w:autoSpaceDN w:val="0"/>
              <w:rPr>
                <w:rFonts w:ascii="宋体" w:hAnsi="宋体"/>
                <w:b/>
                <w:color w:val="000000"/>
                <w:szCs w:val="21"/>
              </w:rPr>
            </w:pPr>
            <w:r>
              <w:rPr>
                <w:rFonts w:hint="eastAsia" w:ascii="宋体" w:hAnsi="宋体"/>
                <w:b/>
                <w:color w:val="000000"/>
                <w:szCs w:val="21"/>
              </w:rPr>
              <w:t>学院账户：</w:t>
            </w:r>
          </w:p>
          <w:p w14:paraId="4E39761B">
            <w:pPr>
              <w:tabs>
                <w:tab w:val="left" w:pos="360"/>
                <w:tab w:val="left" w:pos="540"/>
              </w:tabs>
              <w:wordWrap w:val="0"/>
              <w:autoSpaceDN w:val="0"/>
              <w:rPr>
                <w:rFonts w:ascii="宋体" w:hAnsi="宋体"/>
                <w:bCs/>
                <w:color w:val="000000"/>
                <w:szCs w:val="21"/>
              </w:rPr>
            </w:pPr>
            <w:r>
              <w:rPr>
                <w:rFonts w:hint="eastAsia" w:ascii="宋体" w:hAnsi="宋体"/>
                <w:bCs/>
                <w:color w:val="000000"/>
                <w:szCs w:val="21"/>
              </w:rPr>
              <w:t>学院开户行：中国建设银行上海徐泾支行</w:t>
            </w:r>
          </w:p>
          <w:p w14:paraId="0D74B74A">
            <w:pPr>
              <w:tabs>
                <w:tab w:val="left" w:pos="360"/>
                <w:tab w:val="left" w:pos="540"/>
              </w:tabs>
              <w:wordWrap w:val="0"/>
              <w:autoSpaceDN w:val="0"/>
              <w:rPr>
                <w:rFonts w:ascii="宋体" w:hAnsi="宋体"/>
                <w:bCs/>
                <w:color w:val="000000"/>
                <w:szCs w:val="21"/>
              </w:rPr>
            </w:pPr>
            <w:r>
              <w:rPr>
                <w:rFonts w:hint="eastAsia" w:ascii="宋体" w:hAnsi="宋体"/>
                <w:bCs/>
                <w:color w:val="000000"/>
                <w:szCs w:val="21"/>
              </w:rPr>
              <w:t>单位名称：上海国家会计学院</w:t>
            </w:r>
          </w:p>
          <w:p w14:paraId="51A83E51">
            <w:pPr>
              <w:tabs>
                <w:tab w:val="left" w:pos="360"/>
                <w:tab w:val="left" w:pos="540"/>
              </w:tabs>
              <w:wordWrap w:val="0"/>
              <w:autoSpaceDN w:val="0"/>
              <w:rPr>
                <w:rFonts w:ascii="宋体" w:hAnsi="宋体"/>
                <w:b/>
                <w:color w:val="000000"/>
                <w:szCs w:val="21"/>
              </w:rPr>
            </w:pPr>
            <w:r>
              <w:rPr>
                <w:rFonts w:hint="eastAsia" w:ascii="宋体" w:hAnsi="宋体"/>
                <w:bCs/>
                <w:color w:val="000000"/>
                <w:szCs w:val="21"/>
              </w:rPr>
              <w:t>汇款账号：31001984300059768088</w:t>
            </w:r>
          </w:p>
        </w:tc>
      </w:tr>
      <w:tr w14:paraId="090DDE20">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F10C63">
            <w:pPr>
              <w:tabs>
                <w:tab w:val="left" w:pos="360"/>
                <w:tab w:val="left" w:pos="540"/>
              </w:tabs>
              <w:autoSpaceDN w:val="0"/>
              <w:spacing w:line="360" w:lineRule="exact"/>
              <w:rPr>
                <w:rFonts w:ascii="宋体" w:hAnsi="宋体"/>
                <w:b/>
                <w:color w:val="000000"/>
                <w:szCs w:val="21"/>
              </w:rPr>
            </w:pPr>
            <w:r>
              <w:rPr>
                <w:rFonts w:hint="eastAsia" w:ascii="宋体" w:hAnsi="宋体"/>
                <w:b/>
                <w:color w:val="000000"/>
                <w:szCs w:val="21"/>
              </w:rPr>
              <w:t>报名咨询：</w:t>
            </w:r>
          </w:p>
          <w:p w14:paraId="29750357">
            <w:pPr>
              <w:tabs>
                <w:tab w:val="left" w:pos="360"/>
                <w:tab w:val="left" w:pos="540"/>
              </w:tabs>
              <w:autoSpaceDN w:val="0"/>
              <w:spacing w:line="360" w:lineRule="exact"/>
              <w:rPr>
                <w:rFonts w:ascii="宋体" w:hAnsi="宋体"/>
                <w:bCs/>
                <w:color w:val="000000"/>
                <w:szCs w:val="21"/>
              </w:rPr>
            </w:pPr>
            <w:r>
              <w:rPr>
                <w:rFonts w:hint="eastAsia" w:ascii="宋体" w:hAnsi="宋体"/>
                <w:bCs/>
                <w:color w:val="000000"/>
                <w:szCs w:val="21"/>
              </w:rPr>
              <w:t>黄老师：18610843353（同微信）  邮箱：284828890@qq.com</w:t>
            </w:r>
          </w:p>
        </w:tc>
      </w:tr>
    </w:tbl>
    <w:p w14:paraId="740F29F8">
      <w:pPr>
        <w:widowControl/>
        <w:tabs>
          <w:tab w:val="center" w:pos="4766"/>
          <w:tab w:val="left" w:pos="6716"/>
        </w:tabs>
        <w:spacing w:line="480" w:lineRule="exact"/>
        <w:jc w:val="center"/>
        <w:rPr>
          <w:rFonts w:ascii="仿宋_GB2312" w:hAnsi="宋体" w:eastAsia="仿宋_GB2312" w:cs="宋体"/>
          <w:kern w:val="0"/>
          <w:sz w:val="32"/>
          <w:szCs w:val="32"/>
        </w:rPr>
      </w:pPr>
    </w:p>
    <w:p w14:paraId="04C9FF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B0604020202020204"/>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F18AA"/>
    <w:multiLevelType w:val="singleLevel"/>
    <w:tmpl w:val="EB7F18AA"/>
    <w:lvl w:ilvl="0" w:tentative="0">
      <w:start w:val="2"/>
      <w:numFmt w:val="decimal"/>
      <w:suff w:val="space"/>
      <w:lvlText w:val="%1."/>
      <w:lvlJc w:val="left"/>
    </w:lvl>
  </w:abstractNum>
  <w:abstractNum w:abstractNumId="1">
    <w:nsid w:val="6B195CC6"/>
    <w:multiLevelType w:val="multilevel"/>
    <w:tmpl w:val="6B195CC6"/>
    <w:lvl w:ilvl="0" w:tentative="0">
      <w:start w:val="4"/>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E2"/>
    <w:rsid w:val="000068B9"/>
    <w:rsid w:val="000329B4"/>
    <w:rsid w:val="0003510D"/>
    <w:rsid w:val="00041FFC"/>
    <w:rsid w:val="00072679"/>
    <w:rsid w:val="000C52EC"/>
    <w:rsid w:val="000D763E"/>
    <w:rsid w:val="000E1922"/>
    <w:rsid w:val="000E2B39"/>
    <w:rsid w:val="000F1BE7"/>
    <w:rsid w:val="000F420C"/>
    <w:rsid w:val="00106FF8"/>
    <w:rsid w:val="001549A9"/>
    <w:rsid w:val="00163B81"/>
    <w:rsid w:val="0019510C"/>
    <w:rsid w:val="001E6341"/>
    <w:rsid w:val="002116FD"/>
    <w:rsid w:val="00230540"/>
    <w:rsid w:val="002334B4"/>
    <w:rsid w:val="00245E1D"/>
    <w:rsid w:val="00246178"/>
    <w:rsid w:val="00254740"/>
    <w:rsid w:val="0028010B"/>
    <w:rsid w:val="00290C2A"/>
    <w:rsid w:val="002A0105"/>
    <w:rsid w:val="002A44B6"/>
    <w:rsid w:val="002D7C32"/>
    <w:rsid w:val="00325EC5"/>
    <w:rsid w:val="0035591F"/>
    <w:rsid w:val="00361FDC"/>
    <w:rsid w:val="0038153B"/>
    <w:rsid w:val="003C6C1E"/>
    <w:rsid w:val="003D4A8C"/>
    <w:rsid w:val="003E5214"/>
    <w:rsid w:val="004150A3"/>
    <w:rsid w:val="004324A4"/>
    <w:rsid w:val="00445D14"/>
    <w:rsid w:val="0048143E"/>
    <w:rsid w:val="00481BBA"/>
    <w:rsid w:val="004A7998"/>
    <w:rsid w:val="004B08B5"/>
    <w:rsid w:val="004C1103"/>
    <w:rsid w:val="004C772F"/>
    <w:rsid w:val="004C7A00"/>
    <w:rsid w:val="004D5A7D"/>
    <w:rsid w:val="004E4B61"/>
    <w:rsid w:val="004F06A9"/>
    <w:rsid w:val="004F3BCD"/>
    <w:rsid w:val="00502D13"/>
    <w:rsid w:val="00541AA6"/>
    <w:rsid w:val="0054387E"/>
    <w:rsid w:val="005904BC"/>
    <w:rsid w:val="005A5D0B"/>
    <w:rsid w:val="005B2224"/>
    <w:rsid w:val="005E4DDF"/>
    <w:rsid w:val="005F1E65"/>
    <w:rsid w:val="00641338"/>
    <w:rsid w:val="00671885"/>
    <w:rsid w:val="006F5FBA"/>
    <w:rsid w:val="006F7A37"/>
    <w:rsid w:val="00711A7B"/>
    <w:rsid w:val="00717B22"/>
    <w:rsid w:val="0072709E"/>
    <w:rsid w:val="007513F8"/>
    <w:rsid w:val="00753070"/>
    <w:rsid w:val="00764E5D"/>
    <w:rsid w:val="00787498"/>
    <w:rsid w:val="007E7A05"/>
    <w:rsid w:val="00802B37"/>
    <w:rsid w:val="008253CC"/>
    <w:rsid w:val="0083156B"/>
    <w:rsid w:val="00861ADC"/>
    <w:rsid w:val="008B3276"/>
    <w:rsid w:val="008D44FF"/>
    <w:rsid w:val="008E160E"/>
    <w:rsid w:val="008F2450"/>
    <w:rsid w:val="009815B1"/>
    <w:rsid w:val="009A6A35"/>
    <w:rsid w:val="009B0D1A"/>
    <w:rsid w:val="009B6801"/>
    <w:rsid w:val="009D39C6"/>
    <w:rsid w:val="009E4E72"/>
    <w:rsid w:val="009F3BA6"/>
    <w:rsid w:val="009F7DE0"/>
    <w:rsid w:val="00A0710B"/>
    <w:rsid w:val="00A2056E"/>
    <w:rsid w:val="00A3013C"/>
    <w:rsid w:val="00A32BE2"/>
    <w:rsid w:val="00A42D23"/>
    <w:rsid w:val="00A908DE"/>
    <w:rsid w:val="00A970CA"/>
    <w:rsid w:val="00AD45B8"/>
    <w:rsid w:val="00B038C5"/>
    <w:rsid w:val="00B213E5"/>
    <w:rsid w:val="00B41B5E"/>
    <w:rsid w:val="00B45977"/>
    <w:rsid w:val="00B65FDB"/>
    <w:rsid w:val="00B70021"/>
    <w:rsid w:val="00B96C68"/>
    <w:rsid w:val="00BC7AFD"/>
    <w:rsid w:val="00BD54BD"/>
    <w:rsid w:val="00C0251D"/>
    <w:rsid w:val="00C0268B"/>
    <w:rsid w:val="00C214C8"/>
    <w:rsid w:val="00C309C6"/>
    <w:rsid w:val="00C322B6"/>
    <w:rsid w:val="00C81C26"/>
    <w:rsid w:val="00CB6E30"/>
    <w:rsid w:val="00CF132A"/>
    <w:rsid w:val="00D30A41"/>
    <w:rsid w:val="00D510BD"/>
    <w:rsid w:val="00DD2A0D"/>
    <w:rsid w:val="00E35570"/>
    <w:rsid w:val="00E40A87"/>
    <w:rsid w:val="00E43002"/>
    <w:rsid w:val="00E46EDE"/>
    <w:rsid w:val="00E530A8"/>
    <w:rsid w:val="00EA79C5"/>
    <w:rsid w:val="00ED3CF7"/>
    <w:rsid w:val="00F2060E"/>
    <w:rsid w:val="00F33913"/>
    <w:rsid w:val="00F606D4"/>
    <w:rsid w:val="00F765D4"/>
    <w:rsid w:val="00F8117C"/>
    <w:rsid w:val="00F90FE2"/>
    <w:rsid w:val="00F96B52"/>
    <w:rsid w:val="00FB5F6C"/>
    <w:rsid w:val="00FD1D6F"/>
    <w:rsid w:val="00FD52BA"/>
    <w:rsid w:val="00FF5106"/>
    <w:rsid w:val="196F5F85"/>
    <w:rsid w:val="2B5FEBC6"/>
    <w:rsid w:val="5F7BBA69"/>
    <w:rsid w:val="6FF8233C"/>
    <w:rsid w:val="7E63C8CA"/>
    <w:rsid w:val="CEBFDD12"/>
    <w:rsid w:val="CEDE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6"/>
    <w:unhideWhenUsed/>
    <w:uiPriority w:val="99"/>
    <w:pPr>
      <w:jc w:val="left"/>
    </w:pPr>
  </w:style>
  <w:style w:type="paragraph" w:styleId="12">
    <w:name w:val="Date"/>
    <w:basedOn w:val="1"/>
    <w:next w:val="1"/>
    <w:link w:val="44"/>
    <w:semiHidden/>
    <w:unhideWhenUsed/>
    <w:uiPriority w:val="99"/>
    <w:pPr>
      <w:ind w:left="100" w:leftChars="2500"/>
    </w:pPr>
  </w:style>
  <w:style w:type="paragraph" w:styleId="13">
    <w:name w:val="footer"/>
    <w:basedOn w:val="1"/>
    <w:link w:val="42"/>
    <w:unhideWhenUsed/>
    <w:uiPriority w:val="99"/>
    <w:pPr>
      <w:tabs>
        <w:tab w:val="center" w:pos="4153"/>
        <w:tab w:val="right" w:pos="8306"/>
      </w:tabs>
      <w:snapToGrid w:val="0"/>
    </w:pPr>
    <w:rPr>
      <w:sz w:val="18"/>
      <w:szCs w:val="18"/>
    </w:rPr>
  </w:style>
  <w:style w:type="paragraph" w:styleId="14">
    <w:name w:val="header"/>
    <w:basedOn w:val="1"/>
    <w:link w:val="41"/>
    <w:unhideWhenUsed/>
    <w:uiPriority w:val="99"/>
    <w:pPr>
      <w:tabs>
        <w:tab w:val="center" w:pos="4153"/>
        <w:tab w:val="right" w:pos="8306"/>
      </w:tabs>
      <w:snapToGrid w:val="0"/>
      <w:jc w:val="center"/>
    </w:pPr>
    <w:rPr>
      <w:sz w:val="18"/>
      <w:szCs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uiPriority w:val="99"/>
    <w:rPr>
      <w:sz w:val="24"/>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1"/>
    <w:next w:val="11"/>
    <w:link w:val="47"/>
    <w:semiHidden/>
    <w:unhideWhenUsed/>
    <w:uiPriority w:val="99"/>
    <w:rPr>
      <w:b/>
      <w:bCs/>
    </w:rPr>
  </w:style>
  <w:style w:type="character" w:styleId="21">
    <w:name w:val="Hyperlink"/>
    <w:basedOn w:val="20"/>
    <w:unhideWhenUsed/>
    <w:uiPriority w:val="99"/>
    <w:rPr>
      <w:color w:val="467886" w:themeColor="hyperlink"/>
      <w:u w:val="single"/>
      <w14:textFill>
        <w14:solidFill>
          <w14:schemeClr w14:val="hlink"/>
        </w14:solidFill>
      </w14:textFill>
    </w:rPr>
  </w:style>
  <w:style w:type="character" w:styleId="22">
    <w:name w:val="annotation reference"/>
    <w:basedOn w:val="20"/>
    <w:semiHidden/>
    <w:unhideWhenUsed/>
    <w:uiPriority w:val="99"/>
    <w:rPr>
      <w:sz w:val="21"/>
      <w:szCs w:val="21"/>
    </w:rPr>
  </w:style>
  <w:style w:type="character" w:customStyle="1" w:styleId="23">
    <w:name w:val="标题 1 字符"/>
    <w:basedOn w:val="20"/>
    <w:link w:val="2"/>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0"/>
    <w:link w:val="3"/>
    <w:semiHidden/>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0"/>
    <w:link w:val="4"/>
    <w:semiHidden/>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0"/>
    <w:link w:val="5"/>
    <w:semiHidden/>
    <w:uiPriority w:val="9"/>
    <w:rPr>
      <w:rFonts w:cstheme="majorBidi"/>
      <w:color w:val="104862" w:themeColor="accent1" w:themeShade="BF"/>
      <w:sz w:val="28"/>
      <w:szCs w:val="28"/>
    </w:rPr>
  </w:style>
  <w:style w:type="character" w:customStyle="1" w:styleId="27">
    <w:name w:val="标题 5 字符"/>
    <w:basedOn w:val="20"/>
    <w:link w:val="6"/>
    <w:semiHidden/>
    <w:uiPriority w:val="9"/>
    <w:rPr>
      <w:rFonts w:cstheme="majorBidi"/>
      <w:color w:val="104862" w:themeColor="accent1" w:themeShade="BF"/>
      <w:sz w:val="24"/>
    </w:rPr>
  </w:style>
  <w:style w:type="character" w:customStyle="1" w:styleId="28">
    <w:name w:val="标题 6 字符"/>
    <w:basedOn w:val="20"/>
    <w:link w:val="7"/>
    <w:semiHidden/>
    <w:uiPriority w:val="9"/>
    <w:rPr>
      <w:rFonts w:cstheme="majorBidi"/>
      <w:b/>
      <w:bCs/>
      <w:color w:val="104862" w:themeColor="accent1" w:themeShade="BF"/>
    </w:rPr>
  </w:style>
  <w:style w:type="character" w:customStyle="1" w:styleId="29">
    <w:name w:val="标题 7 字符"/>
    <w:basedOn w:val="20"/>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7"/>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0"/>
    <w:link w:val="38"/>
    <w:uiPriority w:val="30"/>
    <w:rPr>
      <w:i/>
      <w:iCs/>
      <w:color w:val="104862" w:themeColor="accent1" w:themeShade="BF"/>
    </w:rPr>
  </w:style>
  <w:style w:type="character" w:customStyle="1" w:styleId="40">
    <w:name w:val="明显参考1"/>
    <w:basedOn w:val="20"/>
    <w:qFormat/>
    <w:uiPriority w:val="32"/>
    <w:rPr>
      <w:b/>
      <w:bCs/>
      <w:smallCaps/>
      <w:color w:val="104862" w:themeColor="accent1" w:themeShade="BF"/>
      <w:spacing w:val="5"/>
    </w:rPr>
  </w:style>
  <w:style w:type="character" w:customStyle="1" w:styleId="41">
    <w:name w:val="页眉 字符"/>
    <w:basedOn w:val="20"/>
    <w:link w:val="14"/>
    <w:uiPriority w:val="99"/>
    <w:rPr>
      <w:sz w:val="18"/>
      <w:szCs w:val="18"/>
    </w:rPr>
  </w:style>
  <w:style w:type="character" w:customStyle="1" w:styleId="42">
    <w:name w:val="页脚 字符"/>
    <w:basedOn w:val="20"/>
    <w:link w:val="13"/>
    <w:uiPriority w:val="99"/>
    <w:rPr>
      <w:sz w:val="18"/>
      <w:szCs w:val="18"/>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日期 字符"/>
    <w:basedOn w:val="20"/>
    <w:link w:val="12"/>
    <w:semiHidden/>
    <w:uiPriority w:val="99"/>
    <w:rPr>
      <w:sz w:val="21"/>
      <w:szCs w:val="22"/>
      <w14:ligatures w14:val="none"/>
    </w:rPr>
  </w:style>
  <w:style w:type="paragraph" w:customStyle="1" w:styleId="45">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46">
    <w:name w:val="批注文字 字符"/>
    <w:basedOn w:val="20"/>
    <w:link w:val="11"/>
    <w:uiPriority w:val="99"/>
    <w:rPr>
      <w:sz w:val="21"/>
      <w:szCs w:val="22"/>
      <w14:ligatures w14:val="none"/>
    </w:rPr>
  </w:style>
  <w:style w:type="character" w:customStyle="1" w:styleId="47">
    <w:name w:val="批注主题 字符"/>
    <w:basedOn w:val="46"/>
    <w:link w:val="18"/>
    <w:semiHidden/>
    <w:uiPriority w:val="99"/>
    <w:rPr>
      <w:b/>
      <w:bCs/>
      <w:sz w:val="21"/>
      <w:szCs w:val="22"/>
      <w14:ligatures w14:val="none"/>
    </w:rPr>
  </w:style>
  <w:style w:type="character" w:customStyle="1" w:styleId="48">
    <w:name w:val="未处理的提及1"/>
    <w:basedOn w:val="20"/>
    <w:semiHidden/>
    <w:unhideWhenUsed/>
    <w:uiPriority w:val="99"/>
    <w:rPr>
      <w:color w:val="605E5C"/>
      <w:shd w:val="clear" w:color="auto" w:fill="E1DFDD"/>
    </w:rPr>
  </w:style>
  <w:style w:type="paragraph" w:customStyle="1" w:styleId="49">
    <w:name w:val="msonospacing"/>
    <w:basedOn w:val="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509</Words>
  <Characters>2902</Characters>
  <Lines>24</Lines>
  <Paragraphs>6</Paragraphs>
  <TotalTime>0</TotalTime>
  <ScaleCrop>false</ScaleCrop>
  <LinksUpToDate>false</LinksUpToDate>
  <CharactersWithSpaces>3405</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2025-08-28T09:10:00Z</dcterms:created>
  <dc:creator>曹巧波</dc:creator>
  <cp:lastModifiedBy>Daydream</cp:lastModifiedBy>
  <dcterms:modified xsi:type="dcterms:W3CDTF">2025-08-28T09:19:09Z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468C19655DBD1EF12315AC681DE04406_42</vt:lpwstr>
  </property>
</Properties>
</file>