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5D63F">
      <w:pPr>
        <w:spacing w:line="360" w:lineRule="auto"/>
        <w:jc w:val="distribute"/>
        <w:rPr>
          <w:rFonts w:hint="eastAsia" w:ascii="Kaiti SC" w:hAnsi="Kaiti SC" w:eastAsia="Kaiti SC" w:cs="楷体"/>
          <w:b/>
          <w:bCs/>
          <w:color w:val="FF3300"/>
          <w:spacing w:val="-40"/>
          <w:sz w:val="96"/>
          <w:szCs w:val="96"/>
        </w:rPr>
      </w:pPr>
    </w:p>
    <w:p w14:paraId="61B1748D">
      <w:pPr>
        <w:spacing w:line="360" w:lineRule="auto"/>
        <w:jc w:val="center"/>
        <w:rPr>
          <w:rFonts w:hint="eastAsia" w:ascii="宋体" w:hAnsi="宋体"/>
          <w:b/>
          <w:bCs/>
          <w:color w:val="FF3300"/>
          <w:spacing w:val="-40"/>
          <w:sz w:val="84"/>
          <w:szCs w:val="84"/>
        </w:rPr>
      </w:pPr>
      <w:r>
        <w:rPr>
          <w:rFonts w:hint="eastAsia" w:ascii="宋体" w:hAnsi="宋体"/>
          <w:b/>
          <w:bCs/>
          <w:color w:val="FF3300"/>
          <w:spacing w:val="-40"/>
          <w:sz w:val="84"/>
          <w:szCs w:val="84"/>
        </w:rPr>
        <w:t>上海国家会计学院</w:t>
      </w:r>
    </w:p>
    <w:p w14:paraId="753836AF">
      <w:pPr>
        <w:spacing w:line="360" w:lineRule="auto"/>
        <w:rPr>
          <w:rFonts w:hint="eastAsia" w:ascii="Songti SC" w:hAnsi="Songti SC" w:eastAsia="Songti SC"/>
          <w:b/>
          <w:bCs/>
          <w:sz w:val="32"/>
          <w:szCs w:val="32"/>
        </w:rPr>
      </w:pPr>
    </w:p>
    <w:p w14:paraId="69A44D64">
      <w:pPr>
        <w:spacing w:line="360" w:lineRule="auto"/>
        <w:jc w:val="center"/>
        <w:rPr>
          <w:rFonts w:hint="eastAsia" w:cs="微软雅黑" w:asciiTheme="minorEastAsia" w:hAnsiTheme="minorEastAsia"/>
          <w:bCs/>
          <w:sz w:val="32"/>
          <w:szCs w:val="32"/>
        </w:rPr>
      </w:pPr>
      <w:r>
        <w:rPr>
          <w:rFonts w:hint="eastAsia" w:cs="楷体" w:asciiTheme="minorEastAsia" w:hAnsiTheme="minorEastAsia"/>
          <w:bCs/>
          <w:sz w:val="32"/>
          <w:szCs w:val="32"/>
        </w:rPr>
        <w:t xml:space="preserve"> </w:t>
      </w:r>
      <w:r>
        <w:rPr>
          <w:rFonts w:hint="eastAsia" w:cs="微软雅黑" w:asciiTheme="minorEastAsia" w:hAnsiTheme="minorEastAsia"/>
          <w:bCs/>
          <w:sz w:val="32"/>
          <w:szCs w:val="32"/>
        </w:rPr>
        <w:t xml:space="preserve">  上国会培〔20</w:t>
      </w:r>
      <w:r>
        <w:rPr>
          <w:rFonts w:cs="微软雅黑" w:asciiTheme="minorEastAsia" w:hAnsiTheme="minorEastAsia"/>
          <w:bCs/>
          <w:sz w:val="32"/>
          <w:szCs w:val="32"/>
        </w:rPr>
        <w:t>25</w:t>
      </w:r>
      <w:r>
        <w:rPr>
          <w:rFonts w:hint="eastAsia" w:cs="微软雅黑" w:asciiTheme="minorEastAsia" w:hAnsiTheme="minorEastAsia"/>
          <w:bCs/>
          <w:sz w:val="32"/>
          <w:szCs w:val="32"/>
        </w:rPr>
        <w:t>〕</w:t>
      </w:r>
      <w:r>
        <w:rPr>
          <w:rFonts w:cs="微软雅黑" w:asciiTheme="minorEastAsia" w:hAnsiTheme="minorEastAsia"/>
          <w:bCs/>
          <w:sz w:val="32"/>
          <w:szCs w:val="32"/>
        </w:rPr>
        <w:t>17</w:t>
      </w:r>
      <w:r>
        <w:rPr>
          <w:rFonts w:hint="eastAsia" w:cs="微软雅黑" w:asciiTheme="minorEastAsia" w:hAnsiTheme="minorEastAsia"/>
          <w:bCs/>
          <w:sz w:val="32"/>
          <w:szCs w:val="32"/>
        </w:rPr>
        <w:t>号</w:t>
      </w:r>
    </w:p>
    <w:p w14:paraId="66D166A5">
      <w:pPr>
        <w:spacing w:line="360" w:lineRule="auto"/>
        <w:jc w:val="center"/>
        <w:rPr>
          <w:rFonts w:hint="eastAsia" w:ascii="仿宋_GB2312" w:hAnsi="楷体" w:eastAsia="仿宋_GB2312" w:cs="楷体"/>
          <w:b/>
          <w:bCs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283210</wp:posOffset>
                </wp:positionV>
                <wp:extent cx="5461635" cy="13970"/>
                <wp:effectExtent l="19050" t="14605" r="15240" b="19050"/>
                <wp:wrapNone/>
                <wp:docPr id="3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61635" cy="139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flip:y;margin-left:-9.75pt;margin-top:22.3pt;height:1.1pt;width:430.05pt;z-index:251659264;mso-width-relative:page;mso-height-relative:page;" filled="f" stroked="t" coordsize="21600,21600" o:gfxdata="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YSUALVAAAACQEAAA8AAAAAAAAAAQAg&#10;AAAAIgAAAGRycy9kb3ducmV2LnhtbFBLAQIUABQAAAAIAIdO4kBa2qZb2AEAAK4DAAAOAAAAAAAA&#10;AAEAIAAAACQBAABkcnMvZTJvRG9jLnhtbFBLBQYAAAAABgAGAFkBAABu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6B75E4F3">
      <w:pPr>
        <w:spacing w:line="360" w:lineRule="auto"/>
        <w:jc w:val="center"/>
        <w:rPr>
          <w:rFonts w:hint="eastAsia" w:ascii="宋体" w:hAnsi="宋体" w:eastAsia="宋体" w:cs="Times New Roman"/>
          <w:b/>
          <w:sz w:val="36"/>
          <w:szCs w:val="36"/>
        </w:rPr>
      </w:pPr>
    </w:p>
    <w:p w14:paraId="5BB92D88">
      <w:pPr>
        <w:spacing w:line="360" w:lineRule="auto"/>
        <w:jc w:val="center"/>
        <w:rPr>
          <w:rFonts w:hint="eastAsia"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关于举办“非财高管的财报分析与管理决策”</w:t>
      </w:r>
    </w:p>
    <w:p w14:paraId="72A84ED6">
      <w:pPr>
        <w:spacing w:line="360" w:lineRule="auto"/>
        <w:jc w:val="center"/>
        <w:rPr>
          <w:rFonts w:hint="eastAsia"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研修班的通知</w:t>
      </w:r>
    </w:p>
    <w:p w14:paraId="6E1B11F9">
      <w:pPr>
        <w:spacing w:line="360" w:lineRule="auto"/>
        <w:rPr>
          <w:rFonts w:hint="eastAsia" w:ascii="宋体" w:hAnsi="宋体" w:eastAsia="宋体"/>
          <w:sz w:val="32"/>
          <w:szCs w:val="32"/>
        </w:rPr>
      </w:pPr>
    </w:p>
    <w:p w14:paraId="46AE9025">
      <w:pPr>
        <w:spacing w:line="360" w:lineRule="auto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各相关单位：</w:t>
      </w:r>
    </w:p>
    <w:p w14:paraId="62AD0FF3">
      <w:pPr>
        <w:widowControl/>
        <w:spacing w:line="360" w:lineRule="auto"/>
        <w:ind w:firstLine="640" w:firstLineChars="200"/>
        <w:jc w:val="left"/>
        <w:rPr>
          <w:rFonts w:hint="eastAsia" w:ascii="仿宋_GB2312" w:hAnsi="华文中宋" w:eastAsia="仿宋_GB2312" w:cs="Times New Roman"/>
          <w:sz w:val="32"/>
          <w:szCs w:val="32"/>
        </w:rPr>
      </w:pPr>
      <w:r>
        <w:rPr>
          <w:rFonts w:hint="eastAsia" w:ascii="仿宋_GB2312" w:hAnsi="华文中宋" w:eastAsia="仿宋_GB2312" w:cs="Times New Roman"/>
          <w:sz w:val="32"/>
          <w:szCs w:val="32"/>
        </w:rPr>
        <w:t>闻名世界的管理顾问拉姆·查兰先生曾经表示，成功企业家的商业智慧包括：现金净流入、利润（率）、周转率、资产收益率、业务增长和顾客。</w:t>
      </w:r>
    </w:p>
    <w:p w14:paraId="790DE544">
      <w:pPr>
        <w:widowControl/>
        <w:spacing w:line="360" w:lineRule="auto"/>
        <w:ind w:firstLine="640" w:firstLineChars="200"/>
        <w:jc w:val="left"/>
        <w:rPr>
          <w:rFonts w:hint="eastAsia" w:ascii="仿宋_GB2312" w:hAnsi="华文中宋" w:eastAsia="仿宋_GB2312" w:cs="Times New Roman"/>
          <w:sz w:val="32"/>
          <w:szCs w:val="32"/>
        </w:rPr>
      </w:pPr>
      <w:r>
        <w:rPr>
          <w:rFonts w:hint="eastAsia" w:ascii="仿宋_GB2312" w:hAnsi="华文中宋" w:eastAsia="仿宋_GB2312" w:cs="Times New Roman"/>
          <w:sz w:val="32"/>
          <w:szCs w:val="32"/>
        </w:rPr>
        <w:t>经济新常态下，企业之间的竞争已不仅限于产品和服务，也是财务管理能力的竞争。一名优秀的高管，不仅要有出色的业务能力，还要具备一定的财务水平。</w:t>
      </w:r>
      <w:bookmarkStart w:id="0" w:name="_Hlk133480916"/>
      <w:r>
        <w:rPr>
          <w:rFonts w:hint="eastAsia" w:ascii="仿宋_GB2312" w:hAnsi="华文中宋" w:eastAsia="仿宋_GB2312" w:cs="Times New Roman"/>
          <w:sz w:val="32"/>
          <w:szCs w:val="32"/>
        </w:rPr>
        <w:t>透过财务报表理解经济实质，从全局看企业，有助于非财务背景的高管做出更加理性的决策，为公司创造更多价值。</w:t>
      </w:r>
      <w:bookmarkEnd w:id="0"/>
    </w:p>
    <w:p w14:paraId="47C9DB41">
      <w:pPr>
        <w:widowControl/>
        <w:spacing w:line="360" w:lineRule="auto"/>
        <w:ind w:firstLine="640" w:firstLineChars="200"/>
        <w:rPr>
          <w:rFonts w:hint="eastAsia" w:ascii="仿宋_GB2312" w:hAnsi="华文中宋" w:eastAsia="仿宋_GB2312" w:cs="Times New Roman"/>
          <w:sz w:val="32"/>
          <w:szCs w:val="32"/>
        </w:rPr>
      </w:pPr>
      <w:r>
        <w:rPr>
          <w:rFonts w:hint="eastAsia" w:ascii="仿宋_GB2312" w:hAnsi="华文中宋" w:eastAsia="仿宋_GB2312" w:cs="Times New Roman"/>
          <w:sz w:val="32"/>
          <w:szCs w:val="32"/>
        </w:rPr>
        <w:t>有鉴于此，上海国家会计学院将持续举办“非财高管的财报分析与管理决策”专题研修班，帮助企业高管构建财务思维，全面认识三大财务报表，掌握关键的财务分析工具，理解管理决策与财务报表之间的关系，深刻理解业务、战略与财务的关联。</w:t>
      </w:r>
    </w:p>
    <w:p w14:paraId="09327D75">
      <w:pPr>
        <w:widowControl/>
        <w:spacing w:line="360" w:lineRule="auto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</w:rPr>
      </w:pPr>
    </w:p>
    <w:p w14:paraId="754B429F">
      <w:pPr>
        <w:widowControl/>
        <w:spacing w:line="360" w:lineRule="auto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附件：一、课程简介</w:t>
      </w:r>
    </w:p>
    <w:p w14:paraId="6EBE906A">
      <w:pPr>
        <w:widowControl/>
        <w:spacing w:line="360" w:lineRule="auto"/>
        <w:ind w:firstLine="1600" w:firstLineChars="500"/>
        <w:jc w:val="left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二、报名回执表</w:t>
      </w:r>
    </w:p>
    <w:p w14:paraId="07089127">
      <w:pPr>
        <w:spacing w:line="360" w:lineRule="auto"/>
        <w:rPr>
          <w:rFonts w:hint="eastAsia" w:ascii="仿宋_GB2312" w:hAnsi="华文中宋" w:eastAsia="仿宋_GB2312"/>
          <w:sz w:val="32"/>
          <w:szCs w:val="32"/>
        </w:rPr>
      </w:pPr>
    </w:p>
    <w:p w14:paraId="11B0E358">
      <w:pPr>
        <w:spacing w:line="360" w:lineRule="auto"/>
        <w:rPr>
          <w:rFonts w:hint="eastAsia" w:ascii="仿宋_GB2312" w:hAnsi="华文中宋" w:eastAsia="仿宋_GB2312"/>
          <w:sz w:val="32"/>
          <w:szCs w:val="32"/>
        </w:rPr>
      </w:pPr>
    </w:p>
    <w:p w14:paraId="204FB760">
      <w:pPr>
        <w:spacing w:line="360" w:lineRule="auto"/>
        <w:rPr>
          <w:rFonts w:hint="eastAsia" w:ascii="仿宋_GB2312" w:hAnsi="华文中宋" w:eastAsia="仿宋_GB2312"/>
          <w:sz w:val="32"/>
          <w:szCs w:val="32"/>
        </w:rPr>
      </w:pPr>
    </w:p>
    <w:p w14:paraId="1F1AEC8F">
      <w:pPr>
        <w:spacing w:line="360" w:lineRule="auto"/>
        <w:jc w:val="right"/>
        <w:rPr>
          <w:rFonts w:hint="eastAsia" w:ascii="仿宋_GB2312" w:hAnsi="华文中宋" w:eastAsia="仿宋_GB2312" w:cs="微软雅黑"/>
          <w:sz w:val="32"/>
          <w:szCs w:val="32"/>
        </w:rPr>
      </w:pPr>
      <w:r>
        <w:rPr>
          <w:rFonts w:hint="eastAsia" w:ascii="仿宋_GB2312" w:hAnsi="华文中宋" w:eastAsia="仿宋_GB2312" w:cs="微软雅黑"/>
          <w:sz w:val="32"/>
          <w:szCs w:val="32"/>
        </w:rPr>
        <w:t>上海国家会计学院</w:t>
      </w:r>
      <w:r>
        <w:rPr>
          <w:rFonts w:hint="eastAsia" w:ascii="仿宋_GB2312" w:hAnsi="华文中宋" w:eastAsia="仿宋_GB2312" w:cs="Times New Roman"/>
          <w:sz w:val="32"/>
          <w:szCs w:val="32"/>
        </w:rPr>
        <w:t>教务二部</w:t>
      </w:r>
    </w:p>
    <w:p w14:paraId="0EF20ED7">
      <w:pPr>
        <w:spacing w:line="360" w:lineRule="auto"/>
        <w:jc w:val="right"/>
        <w:rPr>
          <w:rFonts w:hint="eastAsia" w:ascii="仿宋_GB2312" w:hAnsi="华文中宋" w:eastAsia="仿宋_GB2312" w:cs="微软雅黑"/>
          <w:sz w:val="32"/>
          <w:szCs w:val="32"/>
        </w:rPr>
      </w:pPr>
      <w:r>
        <w:rPr>
          <w:rFonts w:hint="eastAsia" w:ascii="仿宋_GB2312" w:hAnsi="华文中宋" w:eastAsia="仿宋_GB2312" w:cs="微软雅黑"/>
          <w:sz w:val="32"/>
          <w:szCs w:val="32"/>
        </w:rPr>
        <w:t>202</w:t>
      </w:r>
      <w:r>
        <w:rPr>
          <w:rFonts w:ascii="仿宋_GB2312" w:hAnsi="华文中宋" w:eastAsia="仿宋_GB2312" w:cs="微软雅黑"/>
          <w:sz w:val="32"/>
          <w:szCs w:val="32"/>
        </w:rPr>
        <w:t>5</w:t>
      </w:r>
      <w:r>
        <w:rPr>
          <w:rFonts w:hint="eastAsia" w:ascii="仿宋_GB2312" w:hAnsi="华文中宋" w:eastAsia="仿宋_GB2312" w:cs="微软雅黑"/>
          <w:sz w:val="32"/>
          <w:szCs w:val="32"/>
        </w:rPr>
        <w:t>年</w:t>
      </w:r>
      <w:r>
        <w:rPr>
          <w:rFonts w:ascii="仿宋_GB2312" w:hAnsi="华文中宋" w:eastAsia="仿宋_GB2312" w:cs="微软雅黑"/>
          <w:sz w:val="32"/>
          <w:szCs w:val="32"/>
        </w:rPr>
        <w:t>1</w:t>
      </w:r>
      <w:r>
        <w:rPr>
          <w:rFonts w:hint="eastAsia" w:ascii="仿宋_GB2312" w:hAnsi="华文中宋" w:eastAsia="仿宋_GB2312" w:cs="微软雅黑"/>
          <w:sz w:val="32"/>
          <w:szCs w:val="32"/>
        </w:rPr>
        <w:t>月</w:t>
      </w:r>
    </w:p>
    <w:p w14:paraId="6D9DFCA3">
      <w:pPr>
        <w:spacing w:line="360" w:lineRule="auto"/>
        <w:jc w:val="right"/>
        <w:rPr>
          <w:rFonts w:hint="eastAsia" w:ascii="仿宋_GB2312" w:hAnsi="华文中宋" w:eastAsia="仿宋_GB2312" w:cs="微软雅黑"/>
          <w:sz w:val="32"/>
          <w:szCs w:val="32"/>
        </w:rPr>
      </w:pPr>
    </w:p>
    <w:p w14:paraId="198D243D">
      <w:pPr>
        <w:spacing w:line="360" w:lineRule="auto"/>
        <w:rPr>
          <w:rFonts w:hint="eastAsia" w:ascii="仿宋_GB2312" w:hAnsi="华文中宋" w:eastAsia="仿宋_GB2312" w:cs="微软雅黑"/>
          <w:sz w:val="32"/>
          <w:szCs w:val="32"/>
        </w:rPr>
      </w:pPr>
    </w:p>
    <w:p w14:paraId="2528DDCA">
      <w:pPr>
        <w:pStyle w:val="14"/>
        <w:spacing w:before="156" w:beforeLines="50" w:line="360" w:lineRule="auto"/>
        <w:rPr>
          <w:rFonts w:hint="eastAsia"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附件一：课程简介</w:t>
      </w:r>
    </w:p>
    <w:p w14:paraId="739EF544">
      <w:pPr>
        <w:spacing w:line="360" w:lineRule="auto"/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Times New Roman"/>
          <w:b/>
          <w:color w:val="000000"/>
          <w:sz w:val="32"/>
          <w:szCs w:val="32"/>
        </w:rPr>
        <w:t>一、培训安排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  <w:t xml:space="preserve"> </w:t>
      </w:r>
    </w:p>
    <w:p w14:paraId="2767AB90">
      <w:pPr>
        <w:spacing w:line="360" w:lineRule="auto"/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  <w:t>第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  <w:t>期：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  <w:t>日-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  <w:t>日（2天），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  <w:t xml:space="preserve">日报到  </w:t>
      </w:r>
    </w:p>
    <w:p w14:paraId="475A58E1">
      <w:pPr>
        <w:spacing w:line="360" w:lineRule="auto"/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  <w:t>第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  <w:t>期：1</w:t>
      </w:r>
      <w:r>
        <w:rPr>
          <w:rFonts w:ascii="仿宋_GB2312" w:hAnsi="仿宋_GB2312" w:eastAsia="仿宋_GB2312" w:cs="Times New Roman"/>
          <w:bCs/>
          <w:color w:val="000000"/>
          <w:sz w:val="32"/>
          <w:szCs w:val="32"/>
        </w:rPr>
        <w:t>0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  <w:t>日-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  <w:t>日（2天），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  <w:t xml:space="preserve">日报到  </w:t>
      </w:r>
      <w:bookmarkStart w:id="1" w:name="_GoBack"/>
      <w:bookmarkEnd w:id="1"/>
    </w:p>
    <w:p w14:paraId="312A0335">
      <w:pPr>
        <w:spacing w:line="360" w:lineRule="auto"/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  <w:t>地点：上海国家会计学院</w:t>
      </w:r>
    </w:p>
    <w:p w14:paraId="6C66D601">
      <w:pPr>
        <w:spacing w:line="360" w:lineRule="auto"/>
        <w:rPr>
          <w:rFonts w:hint="eastAsia" w:ascii="仿宋_GB2312" w:hAnsi="仿宋_GB2312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Times New Roman"/>
          <w:b/>
          <w:color w:val="000000"/>
          <w:sz w:val="32"/>
          <w:szCs w:val="32"/>
        </w:rPr>
        <w:t>二、培训对象</w:t>
      </w:r>
    </w:p>
    <w:p w14:paraId="7C132939">
      <w:pPr>
        <w:spacing w:line="360" w:lineRule="auto"/>
        <w:rPr>
          <w:rFonts w:hint="eastAsia"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非财务背景的高管，包括企业董事会、监事会、高层管理团队成员，各职能部门负责人以及业务骨干。</w:t>
      </w:r>
    </w:p>
    <w:p w14:paraId="4BC2B1EB">
      <w:pPr>
        <w:spacing w:line="360" w:lineRule="auto"/>
        <w:rPr>
          <w:rFonts w:hint="eastAsia" w:ascii="仿宋_GB2312" w:hAnsi="仿宋_GB2312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Times New Roman"/>
          <w:b/>
          <w:color w:val="000000"/>
          <w:sz w:val="32"/>
          <w:szCs w:val="32"/>
        </w:rPr>
        <w:t>三、课程目标</w:t>
      </w:r>
    </w:p>
    <w:p w14:paraId="5306895F"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ascii="仿宋_GB2312" w:hAnsi="仿宋_GB2312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.理解商业模式，学习搭建从战略到财报的闭环管理框架；</w:t>
      </w:r>
    </w:p>
    <w:p w14:paraId="0B1E6C5E"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ascii="仿宋_GB2312" w:hAnsi="仿宋_GB2312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.学习从投资活动现金流看企业的未来并把握投资决策的基本准则；</w:t>
      </w:r>
    </w:p>
    <w:p w14:paraId="03566CBE"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ascii="仿宋_GB2312" w:hAnsi="仿宋_GB2312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.明晰筹资管理的五个关键问题；</w:t>
      </w:r>
    </w:p>
    <w:p w14:paraId="78EB6063"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ascii="仿宋_GB2312" w:hAnsi="仿宋_GB2312" w:eastAsia="仿宋_GB2312" w:cs="宋体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.深刻理解企业流动性风险的根源；</w:t>
      </w:r>
    </w:p>
    <w:p w14:paraId="4B55BF12"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ascii="仿宋_GB2312" w:hAnsi="仿宋_GB2312" w:eastAsia="仿宋_GB2312" w:cs="宋体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.领悟成本费用管理的新观念和新方法，学习如何开源节流；</w:t>
      </w:r>
    </w:p>
    <w:p w14:paraId="7F9B6A00"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ascii="仿宋_GB2312" w:hAnsi="仿宋_GB2312" w:eastAsia="仿宋_GB2312" w:cs="宋体"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.学会从三个方面判断净利润的质量。</w:t>
      </w:r>
    </w:p>
    <w:p w14:paraId="3A8A4A50">
      <w:pPr>
        <w:spacing w:line="360" w:lineRule="auto"/>
        <w:rPr>
          <w:rFonts w:hint="eastAsia"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四、课程内容</w:t>
      </w:r>
    </w:p>
    <w:p w14:paraId="08172346"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（一）商业模式的财务表述</w:t>
      </w:r>
    </w:p>
    <w:p w14:paraId="3BB4FAAA"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1.商业模式就是赚钱模式</w:t>
      </w:r>
    </w:p>
    <w:p w14:paraId="29B319FA"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2.现金——业务循环——更多的现金</w:t>
      </w:r>
    </w:p>
    <w:p w14:paraId="3F585374"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（二）赚钱，从战略开始</w:t>
      </w:r>
    </w:p>
    <w:p w14:paraId="2E37D029"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1.方向比努力更重要，做什么决定企业赚多少钱</w:t>
      </w:r>
    </w:p>
    <w:p w14:paraId="47AE92AE"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2.战略的核心：行业选择和竞争策略</w:t>
      </w:r>
    </w:p>
    <w:p w14:paraId="338E6E74"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3.不同行业的财务结果</w:t>
      </w:r>
    </w:p>
    <w:p w14:paraId="09729275"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4.不同竞争策略的财务结果</w:t>
      </w:r>
    </w:p>
    <w:p w14:paraId="21A4A047"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（三）战略决定投资</w:t>
      </w:r>
    </w:p>
    <w:p w14:paraId="6CA5ED22"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1.有什么样的战略，就有什么样的投资</w:t>
      </w:r>
    </w:p>
    <w:p w14:paraId="1B667AD8"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2.战略型投资的两种方式：购建和并购</w:t>
      </w:r>
    </w:p>
    <w:p w14:paraId="0DA19DC3"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3.今天的投资，决定企业未来的赚钱能力</w:t>
      </w:r>
    </w:p>
    <w:p w14:paraId="2785F74C"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4.投资决策的基本准则和难点</w:t>
      </w:r>
    </w:p>
    <w:p w14:paraId="1244B925"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（四）筹资满足投资的需要</w:t>
      </w:r>
    </w:p>
    <w:p w14:paraId="66A4B5B5"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1.为什么要筹资？</w:t>
      </w:r>
    </w:p>
    <w:p w14:paraId="66CC105E"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2.筹资和投资的关系</w:t>
      </w:r>
    </w:p>
    <w:p w14:paraId="17C12072"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3.筹资管理的五个核心问题</w:t>
      </w:r>
    </w:p>
    <w:p w14:paraId="5439A784"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（五）投资决定资产结构和资产质量</w:t>
      </w:r>
    </w:p>
    <w:p w14:paraId="1474A6EB"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1.标准资产分类的缺陷</w:t>
      </w:r>
    </w:p>
    <w:p w14:paraId="1BA2C11F"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2.按照资产的赚钱方式重分类</w:t>
      </w:r>
    </w:p>
    <w:p w14:paraId="161C58D2"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（六）筹资决定资本结构</w:t>
      </w:r>
    </w:p>
    <w:p w14:paraId="002015D1"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1.资本来源结构</w:t>
      </w:r>
    </w:p>
    <w:p w14:paraId="637390A7"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2.资本期限结构</w:t>
      </w:r>
    </w:p>
    <w:p w14:paraId="79BEFCAC"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（七）资本结构和资产结构的三种类型</w:t>
      </w:r>
    </w:p>
    <w:p w14:paraId="3431EFD6"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1.无效的传统流动性指标：流动比率和速动比率</w:t>
      </w:r>
    </w:p>
    <w:p w14:paraId="5944645B"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2.流动性的根源：经营效率，资产结构和资本结构</w:t>
      </w:r>
    </w:p>
    <w:p w14:paraId="31E78359"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3.资产结构和资本结构的三种类型：匹配型，稳健型和激进型</w:t>
      </w:r>
    </w:p>
    <w:p w14:paraId="07E02CC3"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4.流动性风险：短期看结构，长期看赚钱能力</w:t>
      </w:r>
    </w:p>
    <w:p w14:paraId="391D4A4A"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（八）资产结构决定利润结构</w:t>
      </w:r>
    </w:p>
    <w:p w14:paraId="4CF2E560"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1.利润的重分类</w:t>
      </w:r>
    </w:p>
    <w:p w14:paraId="6FD80E5C"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2.高质量净利润的三个特征</w:t>
      </w:r>
    </w:p>
    <w:p w14:paraId="2B62808E"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（九）不忘初心，牢记使命：收回更多的现金</w:t>
      </w:r>
    </w:p>
    <w:p w14:paraId="769D98A8"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1.有利润不一定真赚钱，收回现金才叫做真赚钱</w:t>
      </w:r>
    </w:p>
    <w:p w14:paraId="22C99B40"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2.经营活动现金流量和经营利润的关系</w:t>
      </w:r>
    </w:p>
    <w:p w14:paraId="03817EF0"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3.投资活动现金流量和投资收益的关系</w:t>
      </w:r>
    </w:p>
    <w:p w14:paraId="1B95CCB9"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4.自由现金流是企业永远的追求</w:t>
      </w:r>
    </w:p>
    <w:p w14:paraId="1AEED5EB">
      <w:pPr>
        <w:spacing w:line="360" w:lineRule="auto"/>
        <w:rPr>
          <w:rFonts w:hint="eastAsia"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五、拟邀师资</w:t>
      </w:r>
    </w:p>
    <w:p w14:paraId="0364DCCA"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郭老师：上海国家会计学院教授，会计学博士，产业经济学博士后。多家上市公司独董，财政部会计标准战略委员会委员，财政部企业会计准则咨询委员会委员。开设有微信公众号“渐悟”，内有诸多案例，集中体现了本课程的核心观点。</w:t>
      </w:r>
    </w:p>
    <w:p w14:paraId="658A51EA">
      <w:pPr>
        <w:spacing w:line="360" w:lineRule="auto"/>
        <w:rPr>
          <w:rFonts w:hint="eastAsia" w:ascii="仿宋_GB2312" w:hAnsi="仿宋_GB2312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b/>
          <w:bCs/>
          <w:kern w:val="0"/>
          <w:sz w:val="32"/>
          <w:szCs w:val="32"/>
        </w:rPr>
        <w:t>六、学员评价</w:t>
      </w:r>
    </w:p>
    <w:p w14:paraId="2F8E4BFC"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郭教授专业、幽默风趣、深入浅出的分析方式，让非财务人员的我能快速理解各个财务名词。最大的收获应该是学会了一种更快捷的财务数据分析方式，知道如何通过财报去判断企业的价值，如何通过财报数据去分析可能存在的问题。</w:t>
      </w:r>
    </w:p>
    <w:p w14:paraId="262A9C5E"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——陈同学 某电源股份有限公司生产中心总经理</w:t>
      </w:r>
    </w:p>
    <w:p w14:paraId="32A216FA"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课程讲解逻辑思路清晰，理论和实际报表结合紧密。</w:t>
      </w:r>
    </w:p>
    <w:p w14:paraId="21A29936"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——周同学 某船舶(南京)有限公司副总经理</w:t>
      </w:r>
    </w:p>
    <w:p w14:paraId="0550733D"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郭教授的课程内容十分精彩，有理论有案例！期待更多郭教授的课程。</w:t>
      </w:r>
    </w:p>
    <w:p w14:paraId="288C4AC8"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——吕同学 某集团有限公司总经理</w:t>
      </w:r>
    </w:p>
    <w:p w14:paraId="23E12B3F">
      <w:pPr>
        <w:spacing w:line="360" w:lineRule="auto"/>
        <w:rPr>
          <w:rFonts w:hint="eastAsia"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七、收费标准</w:t>
      </w:r>
    </w:p>
    <w:p w14:paraId="22A114DE">
      <w:pPr>
        <w:spacing w:line="360" w:lineRule="auto"/>
        <w:rPr>
          <w:rFonts w:hint="eastAsia" w:ascii="仿宋_GB2312" w:hAns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1.培训费：</w:t>
      </w:r>
      <w:r>
        <w:rPr>
          <w:rFonts w:ascii="仿宋_GB2312" w:hAnsi="仿宋_GB2312" w:eastAsia="仿宋_GB2312" w:cs="Times New Roman"/>
          <w:color w:val="000000"/>
          <w:sz w:val="32"/>
          <w:szCs w:val="32"/>
        </w:rPr>
        <w:t>9800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元。</w:t>
      </w:r>
    </w:p>
    <w:p w14:paraId="5C27E7D6">
      <w:pPr>
        <w:spacing w:line="360" w:lineRule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2.食宿统一安排，费用自理（具体标准以开课通知为准）。</w:t>
      </w:r>
    </w:p>
    <w:p w14:paraId="4DC6B606">
      <w:pPr>
        <w:spacing w:line="360" w:lineRule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3.费用支付方式：培训费由上海国家会计学院收取，支付宝/微信扫码、汇款。食宿费现场支付。</w:t>
      </w:r>
    </w:p>
    <w:p w14:paraId="02FA0E86">
      <w:pPr>
        <w:widowControl/>
        <w:spacing w:line="360" w:lineRule="auto"/>
        <w:jc w:val="left"/>
        <w:rPr>
          <w:rFonts w:hint="eastAsia" w:ascii="仿宋_GB2312" w:hAns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/>
          <w:color w:val="000000"/>
          <w:sz w:val="32"/>
          <w:szCs w:val="32"/>
        </w:rPr>
        <w:t>八、结业证书</w:t>
      </w:r>
    </w:p>
    <w:p w14:paraId="7E431881">
      <w:pPr>
        <w:spacing w:line="360" w:lineRule="auto"/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sz w:val="32"/>
          <w:szCs w:val="32"/>
        </w:rPr>
        <w:t>培训班结束后由上海国家会计学院颁发结业证书，并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注明学时。但是否可以作为继续教育学时，烦请学员咨询当地主管部门。</w:t>
      </w:r>
    </w:p>
    <w:p w14:paraId="1AE6580E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仿宋_GB2312" w:hAns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/>
          <w:color w:val="000000"/>
          <w:sz w:val="32"/>
          <w:szCs w:val="32"/>
        </w:rPr>
        <w:t>报名咨询</w:t>
      </w:r>
    </w:p>
    <w:p w14:paraId="498DB378">
      <w:pPr>
        <w:spacing w:line="360" w:lineRule="auto"/>
        <w:rPr>
          <w:rFonts w:hint="eastAsia" w:ascii="仿宋_GB2312" w:hAns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请参加人员填写《报名表》（附后），我们将在开课前一周向报名学员发送《开课通知》。</w:t>
      </w:r>
    </w:p>
    <w:p w14:paraId="45F6ED0D">
      <w:pPr>
        <w:spacing w:line="360" w:lineRule="auto"/>
        <w:rPr>
          <w:rFonts w:hint="default" w:ascii="仿宋_GB2312" w:hAnsi="仿宋_GB2312" w:eastAsia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Hans"/>
        </w:rPr>
        <w:t>报名咨询</w:t>
      </w:r>
    </w:p>
    <w:p w14:paraId="24260378">
      <w:pPr>
        <w:spacing w:line="360" w:lineRule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联系人：黄老师18610843353（同微信）</w:t>
      </w:r>
    </w:p>
    <w:p w14:paraId="1EC48D63">
      <w:pPr>
        <w:spacing w:line="360" w:lineRule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邮箱：284828890@qq.com</w:t>
      </w:r>
    </w:p>
    <w:p w14:paraId="79D2217E">
      <w:pPr>
        <w:spacing w:line="360" w:lineRule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课程咨询</w:t>
      </w:r>
    </w:p>
    <w:p w14:paraId="0DB00D6A">
      <w:pPr>
        <w:spacing w:line="360" w:lineRule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联系人：钱老师 021-39768115 </w:t>
      </w:r>
    </w:p>
    <w:p w14:paraId="0F5B88A7">
      <w:pPr>
        <w:spacing w:line="360" w:lineRule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邮箱：qianmengmin@sani.edu.cn</w:t>
      </w:r>
    </w:p>
    <w:p w14:paraId="18F14D79">
      <w:pPr>
        <w:spacing w:line="500" w:lineRule="exact"/>
        <w:rPr>
          <w:rFonts w:hint="eastAsia" w:ascii="仿宋" w:hAnsi="仿宋" w:eastAsia="仿宋"/>
          <w:color w:val="0000FF" w:themeColor="hyperlink"/>
          <w:sz w:val="32"/>
          <w:szCs w:val="32"/>
          <w:u w:val="single"/>
          <w14:textFill>
            <w14:solidFill>
              <w14:schemeClr w14:val="hlink"/>
            </w14:solidFill>
          </w14:textFill>
        </w:rPr>
      </w:pPr>
    </w:p>
    <w:p w14:paraId="0305F7A2">
      <w:pPr>
        <w:spacing w:line="500" w:lineRule="exact"/>
        <w:rPr>
          <w:rFonts w:hint="eastAsia" w:ascii="仿宋" w:hAnsi="仿宋" w:eastAsia="仿宋"/>
          <w:color w:val="0000FF" w:themeColor="hyperlink"/>
          <w:sz w:val="32"/>
          <w:szCs w:val="32"/>
          <w:u w:val="single"/>
          <w14:textFill>
            <w14:solidFill>
              <w14:schemeClr w14:val="hlink"/>
            </w14:solidFill>
          </w14:textFill>
        </w:rPr>
      </w:pPr>
    </w:p>
    <w:p w14:paraId="216D1090">
      <w:pPr>
        <w:spacing w:line="500" w:lineRule="exact"/>
        <w:rPr>
          <w:rFonts w:hint="eastAsia" w:ascii="仿宋" w:hAnsi="仿宋" w:eastAsia="仿宋"/>
          <w:color w:val="0000FF" w:themeColor="hyperlink"/>
          <w:sz w:val="32"/>
          <w:szCs w:val="32"/>
          <w:u w:val="single"/>
          <w14:textFill>
            <w14:solidFill>
              <w14:schemeClr w14:val="hlink"/>
            </w14:solidFill>
          </w14:textFill>
        </w:rPr>
      </w:pPr>
    </w:p>
    <w:p w14:paraId="1A4A934A">
      <w:pPr>
        <w:spacing w:line="500" w:lineRule="exact"/>
        <w:rPr>
          <w:rFonts w:hint="eastAsia" w:ascii="仿宋" w:hAnsi="仿宋" w:eastAsia="仿宋"/>
          <w:color w:val="0000FF" w:themeColor="hyperlink"/>
          <w:sz w:val="32"/>
          <w:szCs w:val="32"/>
          <w:u w:val="single"/>
          <w14:textFill>
            <w14:solidFill>
              <w14:schemeClr w14:val="hlink"/>
            </w14:solidFill>
          </w14:textFill>
        </w:rPr>
      </w:pPr>
    </w:p>
    <w:p w14:paraId="2ABF6077">
      <w:pPr>
        <w:spacing w:line="500" w:lineRule="exact"/>
        <w:rPr>
          <w:rFonts w:hint="eastAsia" w:ascii="仿宋" w:hAnsi="仿宋" w:eastAsia="仿宋"/>
          <w:color w:val="0000FF" w:themeColor="hyperlink"/>
          <w:sz w:val="32"/>
          <w:szCs w:val="32"/>
          <w:u w:val="single"/>
          <w14:textFill>
            <w14:solidFill>
              <w14:schemeClr w14:val="hlink"/>
            </w14:solidFill>
          </w14:textFill>
        </w:rPr>
      </w:pPr>
    </w:p>
    <w:p w14:paraId="03D7F8AE">
      <w:pPr>
        <w:spacing w:line="500" w:lineRule="exact"/>
        <w:rPr>
          <w:rFonts w:hint="eastAsia" w:ascii="仿宋" w:hAnsi="仿宋" w:eastAsia="仿宋"/>
          <w:color w:val="0000FF" w:themeColor="hyperlink"/>
          <w:sz w:val="32"/>
          <w:szCs w:val="32"/>
          <w:u w:val="single"/>
          <w14:textFill>
            <w14:solidFill>
              <w14:schemeClr w14:val="hlink"/>
            </w14:solidFill>
          </w14:textFill>
        </w:rPr>
      </w:pPr>
    </w:p>
    <w:p w14:paraId="1923EFD7">
      <w:pPr>
        <w:spacing w:line="500" w:lineRule="exact"/>
        <w:rPr>
          <w:rFonts w:hint="eastAsia" w:ascii="仿宋" w:hAnsi="仿宋" w:eastAsia="仿宋"/>
          <w:color w:val="0000FF" w:themeColor="hyperlink"/>
          <w:sz w:val="32"/>
          <w:szCs w:val="32"/>
          <w:u w:val="single"/>
          <w14:textFill>
            <w14:solidFill>
              <w14:schemeClr w14:val="hlink"/>
            </w14:solidFill>
          </w14:textFill>
        </w:rPr>
      </w:pPr>
    </w:p>
    <w:p w14:paraId="7AF09643">
      <w:pPr>
        <w:widowControl/>
        <w:tabs>
          <w:tab w:val="center" w:pos="4766"/>
          <w:tab w:val="left" w:pos="6716"/>
        </w:tabs>
        <w:spacing w:line="480" w:lineRule="exact"/>
        <w:rPr>
          <w:rFonts w:hint="eastAsia" w:ascii="等线" w:hAnsi="等线" w:eastAsia="等线"/>
          <w:b/>
          <w:bCs/>
          <w:color w:val="000000"/>
          <w:sz w:val="32"/>
          <w:szCs w:val="32"/>
        </w:rPr>
      </w:pPr>
      <w:r>
        <w:rPr>
          <w:rFonts w:hint="eastAsia" w:ascii="等线" w:hAnsi="等线" w:eastAsia="等线"/>
          <w:b/>
          <w:bCs/>
          <w:color w:val="000000"/>
          <w:sz w:val="32"/>
          <w:szCs w:val="32"/>
        </w:rPr>
        <w:t>附件二：</w:t>
      </w:r>
    </w:p>
    <w:p w14:paraId="070C1D89"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</w:rPr>
        <w:t>上海国家会计学院</w:t>
      </w:r>
    </w:p>
    <w:p w14:paraId="52A2F63F"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hint="eastAsia" w:ascii="等线" w:hAnsi="等线" w:eastAsia="等线" w:cs="Times New Roman"/>
          <w:b/>
          <w:sz w:val="32"/>
          <w:szCs w:val="32"/>
        </w:rPr>
      </w:pPr>
      <w:r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</w:rPr>
        <w:t>“</w:t>
      </w:r>
      <w:r>
        <w:rPr>
          <w:rFonts w:hint="eastAsia" w:ascii="等线" w:hAnsi="等线" w:eastAsia="等线" w:cs="Times New Roman"/>
          <w:b/>
          <w:sz w:val="32"/>
          <w:szCs w:val="32"/>
        </w:rPr>
        <w:t>非财高管的财报分析与管理决策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</w:rPr>
        <w:t>”研修班</w:t>
      </w:r>
    </w:p>
    <w:p w14:paraId="2219EA02"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</w:rPr>
        <w:t>报名回执表</w:t>
      </w:r>
    </w:p>
    <w:tbl>
      <w:tblPr>
        <w:tblStyle w:val="6"/>
        <w:tblpPr w:leftFromText="180" w:rightFromText="180" w:vertAnchor="text" w:horzAnchor="page" w:tblpX="1455" w:tblpY="156"/>
        <w:tblOverlap w:val="never"/>
        <w:tblW w:w="92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"/>
        <w:gridCol w:w="767"/>
        <w:gridCol w:w="368"/>
        <w:gridCol w:w="699"/>
        <w:gridCol w:w="1102"/>
        <w:gridCol w:w="467"/>
        <w:gridCol w:w="1275"/>
        <w:gridCol w:w="606"/>
        <w:gridCol w:w="670"/>
        <w:gridCol w:w="1789"/>
      </w:tblGrid>
      <w:tr w14:paraId="62C1A601">
        <w:trPr>
          <w:trHeight w:val="644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0780C">
            <w:pPr>
              <w:autoSpaceDN w:val="0"/>
              <w:spacing w:before="156" w:after="156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单位名称</w:t>
            </w:r>
          </w:p>
        </w:tc>
        <w:tc>
          <w:tcPr>
            <w:tcW w:w="4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5CBF5">
            <w:pPr>
              <w:wordWrap w:val="0"/>
              <w:autoSpaceDN w:val="0"/>
              <w:ind w:right="96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4122D">
            <w:pPr>
              <w:wordWrap w:val="0"/>
              <w:autoSpaceDN w:val="0"/>
              <w:ind w:right="211"/>
              <w:jc w:val="righ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单位所在地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7E2FC">
            <w:pPr>
              <w:wordWrap w:val="0"/>
              <w:autoSpaceDN w:val="0"/>
              <w:jc w:val="righ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省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市</w:t>
            </w:r>
          </w:p>
        </w:tc>
      </w:tr>
      <w:tr w14:paraId="221F6527">
        <w:trPr>
          <w:trHeight w:val="5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907B7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联系人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姓名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24BDA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0293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手机</w:t>
            </w: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DC3F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F3AE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邮箱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22E4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654792FA"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75FC1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学员姓名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DAAA7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宋体" w:hAnsi="宋体"/>
                <w:b/>
                <w:color w:val="000000"/>
                <w:spacing w:val="-26"/>
                <w:szCs w:val="21"/>
              </w:rPr>
            </w:pPr>
            <w:r>
              <w:rPr>
                <w:rFonts w:ascii="宋体" w:hAnsi="宋体"/>
                <w:b/>
                <w:color w:val="000000"/>
                <w:spacing w:val="-26"/>
                <w:szCs w:val="21"/>
              </w:rPr>
              <w:t>性别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2B999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部门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29BB9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职务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0970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手机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FB17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邮箱</w:t>
            </w:r>
          </w:p>
        </w:tc>
      </w:tr>
      <w:tr w14:paraId="6EF1FC3A"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EA094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F7B20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A356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985C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2176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E25A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 w14:paraId="21C970AD"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3613F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6C1FD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7CCC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9A93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98374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DC24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 w14:paraId="25726326"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2174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BD272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2E9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BCEBB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0DCC8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E5E7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 w14:paraId="2BAC8B7F"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A033D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E8F2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6842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D3AA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3A31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C97F4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 w14:paraId="7667B6F9"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6DE54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8985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B504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EFEB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C2A9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6FB2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 w14:paraId="5BDC9894"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88D9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4A22A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AC31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C88D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27AC8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348C8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 w14:paraId="0CDEC194"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5AD9D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42142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72379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EF7D4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9477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11CEB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 w14:paraId="58B7D5CF"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454FC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F040A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CE5DB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63F08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80D44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0EEE4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 w14:paraId="663EE263">
        <w:trPr>
          <w:trHeight w:val="1296" w:hRule="atLeast"/>
        </w:trPr>
        <w:tc>
          <w:tcPr>
            <w:tcW w:w="4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FC80A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报名程序：</w:t>
            </w:r>
          </w:p>
          <w:p w14:paraId="4641730F">
            <w:pPr>
              <w:tabs>
                <w:tab w:val="left" w:pos="360"/>
                <w:tab w:val="left" w:pos="540"/>
              </w:tabs>
              <w:autoSpaceDN w:val="0"/>
              <w:ind w:left="27"/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培训费支付：刷卡/支付宝/微信/汇款，其中院外培训不支持刷卡。食宿费现场交纳。</w:t>
            </w:r>
          </w:p>
        </w:tc>
        <w:tc>
          <w:tcPr>
            <w:tcW w:w="4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12519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学院账户：</w:t>
            </w:r>
          </w:p>
          <w:p w14:paraId="46CA0802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学院开户行：中国建设银行上海徐泾支行</w:t>
            </w:r>
          </w:p>
          <w:p w14:paraId="097300E7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单位名称：上海国家会计学院</w:t>
            </w:r>
          </w:p>
          <w:p w14:paraId="53A09991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汇款账号：31001984300059768088</w:t>
            </w:r>
          </w:p>
        </w:tc>
      </w:tr>
      <w:tr w14:paraId="53864036">
        <w:trPr>
          <w:trHeight w:val="853" w:hRule="atLeast"/>
        </w:trPr>
        <w:tc>
          <w:tcPr>
            <w:tcW w:w="92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236E1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报名咨询：</w:t>
            </w:r>
          </w:p>
          <w:p w14:paraId="5A2ED9CA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黄老师：18610843353（同微信）  邮箱：</w:t>
            </w:r>
            <w:r>
              <w:rPr>
                <w:rFonts w:ascii="宋体" w:hAnsi="宋体"/>
                <w:bCs/>
                <w:color w:val="000000"/>
                <w:szCs w:val="21"/>
              </w:rPr>
              <w:t>284828890@qq.com</w:t>
            </w:r>
          </w:p>
        </w:tc>
      </w:tr>
    </w:tbl>
    <w:p w14:paraId="136FDEEB">
      <w:pPr>
        <w:widowControl/>
        <w:tabs>
          <w:tab w:val="center" w:pos="4766"/>
          <w:tab w:val="left" w:pos="6716"/>
        </w:tabs>
        <w:spacing w:line="480" w:lineRule="exact"/>
        <w:ind w:firstLine="653"/>
        <w:jc w:val="center"/>
        <w:rPr>
          <w:rFonts w:hint="eastAsia" w:ascii="宋体" w:hAnsi="宋体" w:eastAsia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FEA5ED"/>
    <w:multiLevelType w:val="singleLevel"/>
    <w:tmpl w:val="BAFEA5ED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6E"/>
    <w:rsid w:val="000345DB"/>
    <w:rsid w:val="000422A4"/>
    <w:rsid w:val="00053302"/>
    <w:rsid w:val="00063EA9"/>
    <w:rsid w:val="00067C84"/>
    <w:rsid w:val="000927A9"/>
    <w:rsid w:val="000A7F02"/>
    <w:rsid w:val="000B20C8"/>
    <w:rsid w:val="000B22CD"/>
    <w:rsid w:val="000B40BC"/>
    <w:rsid w:val="000D0763"/>
    <w:rsid w:val="000D4D7B"/>
    <w:rsid w:val="000D5493"/>
    <w:rsid w:val="000E4827"/>
    <w:rsid w:val="000F741B"/>
    <w:rsid w:val="0012616E"/>
    <w:rsid w:val="00133A4E"/>
    <w:rsid w:val="00135AE5"/>
    <w:rsid w:val="001670C5"/>
    <w:rsid w:val="00195939"/>
    <w:rsid w:val="00196B26"/>
    <w:rsid w:val="001B47DA"/>
    <w:rsid w:val="001E3F83"/>
    <w:rsid w:val="00202334"/>
    <w:rsid w:val="00210425"/>
    <w:rsid w:val="002166B7"/>
    <w:rsid w:val="00232E71"/>
    <w:rsid w:val="0024687D"/>
    <w:rsid w:val="00247469"/>
    <w:rsid w:val="002607BF"/>
    <w:rsid w:val="002750F3"/>
    <w:rsid w:val="00284350"/>
    <w:rsid w:val="00286864"/>
    <w:rsid w:val="00291311"/>
    <w:rsid w:val="00294847"/>
    <w:rsid w:val="002A065F"/>
    <w:rsid w:val="002A0953"/>
    <w:rsid w:val="002A409C"/>
    <w:rsid w:val="002A48CA"/>
    <w:rsid w:val="002B2950"/>
    <w:rsid w:val="002C1C51"/>
    <w:rsid w:val="002E41F2"/>
    <w:rsid w:val="002F7813"/>
    <w:rsid w:val="003123EE"/>
    <w:rsid w:val="0036253A"/>
    <w:rsid w:val="00374CE3"/>
    <w:rsid w:val="00380424"/>
    <w:rsid w:val="0038588D"/>
    <w:rsid w:val="00393299"/>
    <w:rsid w:val="003B46C3"/>
    <w:rsid w:val="003D1B82"/>
    <w:rsid w:val="003E5F5C"/>
    <w:rsid w:val="003E6586"/>
    <w:rsid w:val="003F0C2F"/>
    <w:rsid w:val="003F7AD5"/>
    <w:rsid w:val="00400103"/>
    <w:rsid w:val="00403438"/>
    <w:rsid w:val="0041483C"/>
    <w:rsid w:val="00416FC7"/>
    <w:rsid w:val="00436625"/>
    <w:rsid w:val="00437948"/>
    <w:rsid w:val="004446F8"/>
    <w:rsid w:val="004517E8"/>
    <w:rsid w:val="004A0FE1"/>
    <w:rsid w:val="004A14AC"/>
    <w:rsid w:val="004B5415"/>
    <w:rsid w:val="004C4BF1"/>
    <w:rsid w:val="004C6DC1"/>
    <w:rsid w:val="004D0C14"/>
    <w:rsid w:val="004D12AF"/>
    <w:rsid w:val="004D22D7"/>
    <w:rsid w:val="004E4380"/>
    <w:rsid w:val="004F5CDF"/>
    <w:rsid w:val="00506779"/>
    <w:rsid w:val="00506E30"/>
    <w:rsid w:val="00517698"/>
    <w:rsid w:val="005360E8"/>
    <w:rsid w:val="005543FC"/>
    <w:rsid w:val="00560262"/>
    <w:rsid w:val="00563302"/>
    <w:rsid w:val="005644E1"/>
    <w:rsid w:val="00567B32"/>
    <w:rsid w:val="00572590"/>
    <w:rsid w:val="00584D74"/>
    <w:rsid w:val="005857DD"/>
    <w:rsid w:val="005A7213"/>
    <w:rsid w:val="005C3EA1"/>
    <w:rsid w:val="005D2BB5"/>
    <w:rsid w:val="005E2947"/>
    <w:rsid w:val="005F6203"/>
    <w:rsid w:val="00603653"/>
    <w:rsid w:val="00611AAA"/>
    <w:rsid w:val="00620E8E"/>
    <w:rsid w:val="006427E2"/>
    <w:rsid w:val="006435B9"/>
    <w:rsid w:val="006562DA"/>
    <w:rsid w:val="00666570"/>
    <w:rsid w:val="00683487"/>
    <w:rsid w:val="006932DA"/>
    <w:rsid w:val="006A7DE6"/>
    <w:rsid w:val="006B1CBD"/>
    <w:rsid w:val="006D5F42"/>
    <w:rsid w:val="006E73D7"/>
    <w:rsid w:val="006E786B"/>
    <w:rsid w:val="006F13B1"/>
    <w:rsid w:val="00707291"/>
    <w:rsid w:val="00707F70"/>
    <w:rsid w:val="007344FC"/>
    <w:rsid w:val="0075265F"/>
    <w:rsid w:val="007556FF"/>
    <w:rsid w:val="00777C07"/>
    <w:rsid w:val="00781650"/>
    <w:rsid w:val="00784D73"/>
    <w:rsid w:val="00785C41"/>
    <w:rsid w:val="00791871"/>
    <w:rsid w:val="007B2852"/>
    <w:rsid w:val="007C65D7"/>
    <w:rsid w:val="007D61CC"/>
    <w:rsid w:val="007F5143"/>
    <w:rsid w:val="00802FD7"/>
    <w:rsid w:val="00812A58"/>
    <w:rsid w:val="00861CB8"/>
    <w:rsid w:val="00884AB0"/>
    <w:rsid w:val="008856CF"/>
    <w:rsid w:val="008908A1"/>
    <w:rsid w:val="00891AD6"/>
    <w:rsid w:val="00897178"/>
    <w:rsid w:val="008B304B"/>
    <w:rsid w:val="008C04D0"/>
    <w:rsid w:val="008C3178"/>
    <w:rsid w:val="008D6D60"/>
    <w:rsid w:val="008E4A0B"/>
    <w:rsid w:val="008F24E7"/>
    <w:rsid w:val="008F7277"/>
    <w:rsid w:val="00917CFE"/>
    <w:rsid w:val="00920DCF"/>
    <w:rsid w:val="009273D0"/>
    <w:rsid w:val="009314E1"/>
    <w:rsid w:val="00940619"/>
    <w:rsid w:val="009420A6"/>
    <w:rsid w:val="00946B70"/>
    <w:rsid w:val="00947183"/>
    <w:rsid w:val="00951713"/>
    <w:rsid w:val="0095474B"/>
    <w:rsid w:val="00956CE4"/>
    <w:rsid w:val="00957911"/>
    <w:rsid w:val="00962618"/>
    <w:rsid w:val="00966C30"/>
    <w:rsid w:val="00991B19"/>
    <w:rsid w:val="009A3BD2"/>
    <w:rsid w:val="009B7C09"/>
    <w:rsid w:val="009E36D2"/>
    <w:rsid w:val="009F6093"/>
    <w:rsid w:val="00A03739"/>
    <w:rsid w:val="00A06733"/>
    <w:rsid w:val="00A2591A"/>
    <w:rsid w:val="00A30255"/>
    <w:rsid w:val="00A5569B"/>
    <w:rsid w:val="00A8020B"/>
    <w:rsid w:val="00A81A4F"/>
    <w:rsid w:val="00A826B9"/>
    <w:rsid w:val="00A86DD1"/>
    <w:rsid w:val="00AB1ED8"/>
    <w:rsid w:val="00AD5CDF"/>
    <w:rsid w:val="00AE2B92"/>
    <w:rsid w:val="00AF50D8"/>
    <w:rsid w:val="00B10B53"/>
    <w:rsid w:val="00B1480C"/>
    <w:rsid w:val="00B71B96"/>
    <w:rsid w:val="00B7591B"/>
    <w:rsid w:val="00BA0D97"/>
    <w:rsid w:val="00BA61A7"/>
    <w:rsid w:val="00BA7924"/>
    <w:rsid w:val="00BB6A12"/>
    <w:rsid w:val="00BC0DE4"/>
    <w:rsid w:val="00BC199F"/>
    <w:rsid w:val="00BC28D1"/>
    <w:rsid w:val="00BE23E6"/>
    <w:rsid w:val="00BE29C8"/>
    <w:rsid w:val="00BE49BF"/>
    <w:rsid w:val="00BF0E92"/>
    <w:rsid w:val="00C04EEB"/>
    <w:rsid w:val="00C16206"/>
    <w:rsid w:val="00C2629C"/>
    <w:rsid w:val="00C30DBE"/>
    <w:rsid w:val="00C31090"/>
    <w:rsid w:val="00C3787F"/>
    <w:rsid w:val="00C60AC8"/>
    <w:rsid w:val="00C654E1"/>
    <w:rsid w:val="00C66D79"/>
    <w:rsid w:val="00C771D3"/>
    <w:rsid w:val="00C8056C"/>
    <w:rsid w:val="00C84A2B"/>
    <w:rsid w:val="00C8649A"/>
    <w:rsid w:val="00CA1E37"/>
    <w:rsid w:val="00CA3F22"/>
    <w:rsid w:val="00CF1F01"/>
    <w:rsid w:val="00D00681"/>
    <w:rsid w:val="00D06A5B"/>
    <w:rsid w:val="00D145B2"/>
    <w:rsid w:val="00D25458"/>
    <w:rsid w:val="00D30610"/>
    <w:rsid w:val="00D96558"/>
    <w:rsid w:val="00DA348F"/>
    <w:rsid w:val="00DA502E"/>
    <w:rsid w:val="00DA73A2"/>
    <w:rsid w:val="00DD4998"/>
    <w:rsid w:val="00DD4D16"/>
    <w:rsid w:val="00DE7294"/>
    <w:rsid w:val="00DF2BD2"/>
    <w:rsid w:val="00E079FF"/>
    <w:rsid w:val="00E324C5"/>
    <w:rsid w:val="00E333D2"/>
    <w:rsid w:val="00E43894"/>
    <w:rsid w:val="00E81F39"/>
    <w:rsid w:val="00E856B7"/>
    <w:rsid w:val="00EC17B0"/>
    <w:rsid w:val="00EC1FA4"/>
    <w:rsid w:val="00EC4E93"/>
    <w:rsid w:val="00ED7033"/>
    <w:rsid w:val="00F2366E"/>
    <w:rsid w:val="00F30B30"/>
    <w:rsid w:val="00F36217"/>
    <w:rsid w:val="00F454C5"/>
    <w:rsid w:val="00F47F77"/>
    <w:rsid w:val="00F5238A"/>
    <w:rsid w:val="00F611C4"/>
    <w:rsid w:val="00F757BA"/>
    <w:rsid w:val="00F77811"/>
    <w:rsid w:val="00F90008"/>
    <w:rsid w:val="00F90508"/>
    <w:rsid w:val="00F93D14"/>
    <w:rsid w:val="00FC7E73"/>
    <w:rsid w:val="0A5C40ED"/>
    <w:rsid w:val="24C25708"/>
    <w:rsid w:val="29153F32"/>
    <w:rsid w:val="2B0A3AB5"/>
    <w:rsid w:val="2C30418C"/>
    <w:rsid w:val="334E5B24"/>
    <w:rsid w:val="54CE30C5"/>
    <w:rsid w:val="6A4FDE29"/>
    <w:rsid w:val="6F09709A"/>
    <w:rsid w:val="A9CB3ACA"/>
    <w:rsid w:val="BEDE13F7"/>
    <w:rsid w:val="EFF7D37A"/>
    <w:rsid w:val="FB6FE1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7"/>
    <w:link w:val="2"/>
    <w:semiHidden/>
    <w:qFormat/>
    <w:uiPriority w:val="99"/>
  </w:style>
  <w:style w:type="paragraph" w:styleId="1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329</Words>
  <Characters>1880</Characters>
  <Lines>15</Lines>
  <Paragraphs>4</Paragraphs>
  <TotalTime>1</TotalTime>
  <ScaleCrop>false</ScaleCrop>
  <LinksUpToDate>false</LinksUpToDate>
  <CharactersWithSpaces>2205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2023-09-14T10:00:00Z</dcterms:created>
  <dc:creator>石坤</dc:creator>
  <cp:lastModifiedBy>Daydream</cp:lastModifiedBy>
  <dcterms:modified xsi:type="dcterms:W3CDTF">2025-08-11T12:57:14Z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38CF5382E23BA5D3B43AEB67D6B8C859_42</vt:lpwstr>
  </property>
</Properties>
</file>