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distribute"/>
        <w:rPr>
          <w:rFonts w:hint="eastAsia" w:ascii="Kaiti SC" w:hAnsi="Kaiti SC" w:eastAsia="Kaiti SC" w:cs="楷体"/>
          <w:b/>
          <w:bCs/>
          <w:color w:val="FF3300"/>
          <w:spacing w:val="-40"/>
          <w:sz w:val="96"/>
          <w:szCs w:val="96"/>
        </w:rPr>
      </w:pPr>
    </w:p>
    <w:p>
      <w:pPr>
        <w:spacing w:line="360" w:lineRule="auto"/>
        <w:jc w:val="center"/>
        <w:rPr>
          <w:rFonts w:hint="eastAsia" w:ascii="宋体" w:hAnsi="宋体"/>
          <w:b/>
          <w:bCs/>
          <w:color w:val="FF3300"/>
          <w:spacing w:val="-40"/>
          <w:sz w:val="84"/>
          <w:szCs w:val="84"/>
        </w:rPr>
      </w:pPr>
      <w:r>
        <w:rPr>
          <w:rFonts w:hint="eastAsia" w:ascii="宋体" w:hAnsi="宋体"/>
          <w:b/>
          <w:bCs/>
          <w:color w:val="FF3300"/>
          <w:spacing w:val="-40"/>
          <w:sz w:val="84"/>
          <w:szCs w:val="84"/>
        </w:rPr>
        <w:t>上海国家会计学院</w:t>
      </w:r>
    </w:p>
    <w:p>
      <w:pPr>
        <w:spacing w:line="360" w:lineRule="auto"/>
        <w:rPr>
          <w:rFonts w:hint="eastAsia" w:ascii="Songti SC" w:hAnsi="Songti SC" w:eastAsia="Songti SC"/>
          <w:b/>
          <w:bCs/>
          <w:sz w:val="11"/>
        </w:rPr>
      </w:pPr>
    </w:p>
    <w:p>
      <w:pPr>
        <w:spacing w:line="360" w:lineRule="auto"/>
        <w:jc w:val="center"/>
        <w:rPr>
          <w:rFonts w:hint="eastAsia" w:ascii="宋体" w:hAnsi="宋体" w:eastAsia="宋体" w:cs="微软雅黑"/>
          <w:bCs/>
          <w:sz w:val="36"/>
          <w:szCs w:val="36"/>
        </w:rPr>
      </w:pPr>
      <w:r>
        <w:rPr>
          <w:rFonts w:hint="eastAsia" w:ascii="宋体" w:hAnsi="宋体" w:eastAsia="宋体" w:cs="微软雅黑"/>
          <w:bCs/>
          <w:sz w:val="36"/>
          <w:szCs w:val="36"/>
        </w:rPr>
        <w:t xml:space="preserve">  上国会培〔2025〕11号</w:t>
      </w:r>
    </w:p>
    <w:p>
      <w:pPr>
        <w:spacing w:line="360" w:lineRule="auto"/>
        <w:jc w:val="center"/>
        <w:rPr>
          <w:rFonts w:hint="eastAsia" w:ascii="仿宋_GB2312" w:hAnsi="楷体" w:eastAsia="仿宋_GB2312" w:cs="楷体"/>
          <w:b/>
          <w:bCs/>
          <w:sz w:val="20"/>
          <w:szCs w:val="1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283210</wp:posOffset>
                </wp:positionV>
                <wp:extent cx="5461635" cy="13970"/>
                <wp:effectExtent l="0" t="0" r="5715" b="5080"/>
                <wp:wrapNone/>
                <wp:docPr id="1" name="直线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5461635" cy="1397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连接符 1" o:spid="_x0000_s1026" o:spt="20" style="position:absolute;left:0pt;flip:y;margin-left:-9.75pt;margin-top:22.3pt;height:1.1pt;width:430.05pt;z-index:251659264;mso-width-relative:page;mso-height-relative:page;" filled="f" stroked="t" coordsize="21600,21600" o:gfxdata="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WAAAAZHJzL1BLAQIUABQAAAAIAIdO&#10;4kCGElAC1QAAAAkBAAAPAAAAAAAAAAEAIAAAADgAAABkcnMvZG93bnJldi54bWxQSwECFAAUAAAA&#10;CACHTuJALz4nrdsBAACHAwAADgAAAAAAAAABACAAAAA6AQAAZHJzL2Uyb0RvYy54bWxQSwUGAAAA&#10;AAYABgBZAQAAhwUAAAAA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360" w:lineRule="auto"/>
        <w:jc w:val="center"/>
        <w:rPr>
          <w:rFonts w:hint="eastAsia" w:ascii="宋体" w:hAnsi="宋体" w:eastAsia="宋体" w:cs="Times New Roman"/>
          <w:b/>
          <w:sz w:val="44"/>
          <w:szCs w:val="44"/>
        </w:rPr>
      </w:pPr>
    </w:p>
    <w:p>
      <w:pPr>
        <w:spacing w:line="360" w:lineRule="auto"/>
        <w:jc w:val="center"/>
        <w:rPr>
          <w:rFonts w:hint="eastAsia" w:ascii="宋体" w:hAnsi="宋体" w:eastAsia="宋体" w:cs="Times New Roman"/>
          <w:b/>
          <w:sz w:val="32"/>
          <w:szCs w:val="32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>关于举办“非财高管的财务管理与价值创造”研修班</w:t>
      </w:r>
    </w:p>
    <w:p>
      <w:pPr>
        <w:spacing w:line="360" w:lineRule="auto"/>
        <w:jc w:val="center"/>
        <w:rPr>
          <w:rFonts w:hint="eastAsia" w:ascii="宋体" w:hAnsi="宋体" w:eastAsia="宋体" w:cs="Times New Roman"/>
          <w:b/>
          <w:sz w:val="32"/>
          <w:szCs w:val="32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>的通知</w:t>
      </w:r>
    </w:p>
    <w:p>
      <w:pPr>
        <w:jc w:val="center"/>
        <w:rPr>
          <w:b/>
          <w:sz w:val="28"/>
          <w:szCs w:val="28"/>
        </w:rPr>
      </w:pPr>
    </w:p>
    <w:p>
      <w:pPr>
        <w:spacing w:line="360" w:lineRule="auto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各相关单位：</w:t>
      </w:r>
    </w:p>
    <w:p>
      <w:pPr>
        <w:widowControl/>
        <w:spacing w:line="360" w:lineRule="auto"/>
        <w:ind w:firstLine="640" w:firstLineChars="200"/>
        <w:jc w:val="left"/>
        <w:rPr>
          <w:rFonts w:hint="eastAsia" w:ascii="仿宋_GB2312" w:eastAsia="仿宋_GB2312" w:cs="Times New Roman" w:hAnsiTheme="minorEastAsia"/>
          <w:sz w:val="32"/>
          <w:szCs w:val="32"/>
        </w:rPr>
      </w:pPr>
      <w:r>
        <w:rPr>
          <w:rFonts w:hint="eastAsia" w:ascii="仿宋_GB2312" w:eastAsia="仿宋_GB2312" w:cs="Times New Roman" w:hAnsiTheme="minorEastAsia"/>
          <w:sz w:val="32"/>
          <w:szCs w:val="32"/>
        </w:rPr>
        <w:t>公司财务，汇集了公司最有价值的信息，其背后蕴含的逻辑更是商业世界的精髓所在。作为高管，需要从源头理解业务与财务的互动。有鉴于此，我们整合了与高管战略制定与执行职能密切相关的财报分析、税务风险管控、投融资以及资金管理等核心课程，助力高管带领团队开拓管理红利。</w:t>
      </w:r>
    </w:p>
    <w:p>
      <w:pPr>
        <w:widowControl/>
        <w:spacing w:line="360" w:lineRule="auto"/>
        <w:ind w:firstLine="640" w:firstLineChars="200"/>
        <w:jc w:val="left"/>
        <w:rPr>
          <w:rFonts w:hint="eastAsia" w:ascii="仿宋_GB2312" w:eastAsia="仿宋_GB2312" w:cs="Times New Roman" w:hAnsiTheme="minorEastAsia"/>
          <w:sz w:val="32"/>
          <w:szCs w:val="32"/>
        </w:rPr>
      </w:pPr>
      <w:r>
        <w:rPr>
          <w:rFonts w:hint="eastAsia" w:ascii="仿宋_GB2312" w:eastAsia="仿宋_GB2312" w:cs="Times New Roman" w:hAnsiTheme="minorEastAsia"/>
          <w:sz w:val="32"/>
          <w:szCs w:val="32"/>
        </w:rPr>
        <w:t>不同于常规的财税类课程，针对公司非财高管开设的课程，充分结合了公司的战略与运营，从为企业创造长远价值的角度切入，用业务语言加以阐述，更易理解，也更贴近实务。在高管团队内部构建起来的这套思维与体系，也能从根本上推动公司内部财务管理与业务的融合，从而有利于财务工作的展开。</w:t>
      </w:r>
    </w:p>
    <w:p>
      <w:pPr>
        <w:widowControl/>
        <w:spacing w:line="360" w:lineRule="auto"/>
        <w:ind w:firstLine="640" w:firstLineChars="200"/>
        <w:jc w:val="left"/>
        <w:rPr>
          <w:rFonts w:hint="eastAsia" w:ascii="仿宋_GB2312" w:eastAsia="仿宋_GB2312" w:cs="Times New Roman" w:hAnsiTheme="minorEastAsia"/>
          <w:sz w:val="32"/>
          <w:szCs w:val="32"/>
        </w:rPr>
      </w:pPr>
      <w:r>
        <w:rPr>
          <w:rFonts w:hint="eastAsia" w:ascii="仿宋_GB2312" w:eastAsia="仿宋_GB2312" w:cs="Times New Roman" w:hAnsiTheme="minorEastAsia"/>
          <w:sz w:val="32"/>
          <w:szCs w:val="32"/>
        </w:rPr>
        <w:t>着眼于此，上海国家会计学院专门为非财务背景的高管们开设了“非财高管的财务管理与价值创造”课程，用三天时间，建体系，换思路，推动公司价值创造。</w:t>
      </w:r>
    </w:p>
    <w:p>
      <w:pPr>
        <w:widowControl/>
        <w:spacing w:line="360" w:lineRule="auto"/>
        <w:ind w:firstLine="640" w:firstLineChars="200"/>
        <w:jc w:val="left"/>
        <w:rPr>
          <w:rFonts w:hint="eastAsia" w:ascii="仿宋_GB2312" w:eastAsia="仿宋_GB2312" w:hAnsiTheme="minorEastAsia"/>
          <w:sz w:val="32"/>
          <w:szCs w:val="32"/>
        </w:rPr>
      </w:pPr>
    </w:p>
    <w:p>
      <w:pPr>
        <w:widowControl/>
        <w:spacing w:line="360" w:lineRule="auto"/>
        <w:ind w:firstLine="640" w:firstLineChars="200"/>
        <w:jc w:val="left"/>
        <w:rPr>
          <w:rFonts w:hint="eastAsia" w:ascii="仿宋_GB2312" w:eastAsia="仿宋_GB2312" w:hAnsiTheme="minorEastAsia"/>
          <w:sz w:val="32"/>
          <w:szCs w:val="32"/>
        </w:rPr>
      </w:pPr>
    </w:p>
    <w:p>
      <w:pPr>
        <w:widowControl/>
        <w:spacing w:line="360" w:lineRule="auto"/>
        <w:ind w:firstLine="640" w:firstLineChars="200"/>
        <w:jc w:val="left"/>
        <w:rPr>
          <w:rFonts w:hint="eastAsia" w:ascii="仿宋_GB2312" w:eastAsia="仿宋_GB2312" w:hAnsiTheme="minorEastAsia"/>
          <w:sz w:val="32"/>
          <w:szCs w:val="32"/>
        </w:rPr>
      </w:pPr>
    </w:p>
    <w:p>
      <w:pPr>
        <w:widowControl/>
        <w:spacing w:line="360" w:lineRule="auto"/>
        <w:ind w:firstLine="640" w:firstLineChars="200"/>
        <w:jc w:val="left"/>
        <w:rPr>
          <w:rFonts w:hint="eastAsia" w:ascii="仿宋_GB2312" w:eastAsia="仿宋_GB2312" w:hAnsiTheme="minorEastAsia"/>
          <w:sz w:val="32"/>
          <w:szCs w:val="32"/>
        </w:rPr>
      </w:pPr>
    </w:p>
    <w:p>
      <w:pPr>
        <w:widowControl/>
        <w:spacing w:line="360" w:lineRule="auto"/>
        <w:ind w:firstLine="640" w:firstLineChars="200"/>
        <w:jc w:val="left"/>
        <w:rPr>
          <w:rFonts w:hint="eastAsia" w:ascii="仿宋_GB2312" w:eastAsia="仿宋_GB2312" w:hAnsiTheme="minorEastAsia"/>
          <w:sz w:val="32"/>
          <w:szCs w:val="32"/>
        </w:rPr>
      </w:pPr>
    </w:p>
    <w:p>
      <w:pPr>
        <w:widowControl/>
        <w:spacing w:line="360" w:lineRule="auto"/>
        <w:ind w:firstLine="640" w:firstLineChars="200"/>
        <w:jc w:val="left"/>
        <w:rPr>
          <w:rFonts w:hint="eastAsia" w:ascii="仿宋_GB2312" w:eastAsia="仿宋_GB2312" w:hAnsiTheme="minorEastAsia"/>
          <w:sz w:val="32"/>
          <w:szCs w:val="32"/>
        </w:rPr>
      </w:pPr>
    </w:p>
    <w:p>
      <w:pPr>
        <w:widowControl/>
        <w:spacing w:line="360" w:lineRule="auto"/>
        <w:ind w:firstLine="640" w:firstLineChars="200"/>
        <w:jc w:val="left"/>
        <w:rPr>
          <w:rFonts w:hint="eastAsia" w:ascii="仿宋_GB2312" w:eastAsia="仿宋_GB2312" w:hAnsiTheme="minorEastAsia"/>
          <w:sz w:val="32"/>
          <w:szCs w:val="32"/>
        </w:rPr>
      </w:pPr>
    </w:p>
    <w:p>
      <w:pPr>
        <w:widowControl/>
        <w:spacing w:line="360" w:lineRule="auto"/>
        <w:ind w:firstLine="640" w:firstLineChars="200"/>
        <w:jc w:val="left"/>
        <w:rPr>
          <w:rFonts w:hint="eastAsia" w:ascii="仿宋_GB2312" w:hAnsi="宋体" w:eastAsia="仿宋_GB2312" w:cs="微软雅黑"/>
          <w:sz w:val="32"/>
          <w:szCs w:val="32"/>
        </w:rPr>
      </w:pPr>
      <w:r>
        <w:rPr>
          <w:rFonts w:hint="eastAsia" w:ascii="仿宋_GB2312" w:hAnsi="宋体" w:eastAsia="仿宋_GB2312" w:cs="微软雅黑"/>
          <w:sz w:val="32"/>
          <w:szCs w:val="32"/>
        </w:rPr>
        <w:t>附件：一、课程简介</w:t>
      </w:r>
    </w:p>
    <w:p>
      <w:pPr>
        <w:widowControl/>
        <w:spacing w:line="360" w:lineRule="auto"/>
        <w:ind w:firstLine="1600" w:firstLineChars="500"/>
        <w:jc w:val="left"/>
        <w:rPr>
          <w:rFonts w:hint="eastAsia" w:ascii="仿宋_GB2312" w:hAnsi="宋体" w:eastAsia="仿宋_GB2312" w:cs="微软雅黑"/>
          <w:sz w:val="32"/>
          <w:szCs w:val="32"/>
        </w:rPr>
      </w:pPr>
      <w:r>
        <w:rPr>
          <w:rFonts w:hint="eastAsia" w:ascii="仿宋_GB2312" w:hAnsi="宋体" w:eastAsia="仿宋_GB2312" w:cs="微软雅黑"/>
          <w:sz w:val="32"/>
          <w:szCs w:val="32"/>
        </w:rPr>
        <w:t>二、报名回执表</w:t>
      </w:r>
    </w:p>
    <w:p>
      <w:pPr>
        <w:spacing w:line="360" w:lineRule="auto"/>
        <w:rPr>
          <w:rFonts w:hint="eastAsia" w:ascii="仿宋_GB2312" w:hAnsi="宋体" w:eastAsia="仿宋_GB2312" w:cs="微软雅黑"/>
          <w:sz w:val="32"/>
          <w:szCs w:val="32"/>
        </w:rPr>
      </w:pPr>
    </w:p>
    <w:p>
      <w:pPr>
        <w:spacing w:line="360" w:lineRule="auto"/>
        <w:rPr>
          <w:rFonts w:hint="eastAsia" w:ascii="仿宋_GB2312" w:hAnsi="宋体" w:eastAsia="仿宋_GB2312" w:cs="微软雅黑"/>
          <w:sz w:val="32"/>
          <w:szCs w:val="32"/>
        </w:rPr>
      </w:pPr>
    </w:p>
    <w:p>
      <w:pPr>
        <w:spacing w:line="360" w:lineRule="auto"/>
        <w:rPr>
          <w:rFonts w:hint="eastAsia" w:ascii="仿宋_GB2312" w:hAnsi="宋体" w:eastAsia="仿宋_GB2312" w:cs="微软雅黑"/>
          <w:sz w:val="32"/>
          <w:szCs w:val="32"/>
        </w:rPr>
      </w:pPr>
    </w:p>
    <w:p>
      <w:pPr>
        <w:spacing w:line="360" w:lineRule="auto"/>
        <w:rPr>
          <w:rFonts w:hint="eastAsia" w:ascii="仿宋_GB2312" w:hAnsi="宋体" w:eastAsia="仿宋_GB2312" w:cs="微软雅黑"/>
          <w:sz w:val="32"/>
          <w:szCs w:val="32"/>
        </w:rPr>
      </w:pPr>
    </w:p>
    <w:p>
      <w:pPr>
        <w:spacing w:line="360" w:lineRule="auto"/>
        <w:jc w:val="right"/>
        <w:rPr>
          <w:rFonts w:hint="eastAsia" w:ascii="仿宋_GB2312" w:hAnsi="宋体" w:eastAsia="仿宋_GB2312" w:cs="微软雅黑"/>
          <w:sz w:val="32"/>
          <w:szCs w:val="32"/>
        </w:rPr>
      </w:pPr>
      <w:r>
        <w:rPr>
          <w:rFonts w:hint="eastAsia" w:ascii="仿宋_GB2312" w:hAnsi="宋体" w:eastAsia="仿宋_GB2312" w:cs="微软雅黑"/>
          <w:sz w:val="32"/>
          <w:szCs w:val="32"/>
        </w:rPr>
        <w:t>上海国家会计学院</w:t>
      </w:r>
    </w:p>
    <w:p>
      <w:pPr>
        <w:spacing w:line="360" w:lineRule="auto"/>
        <w:jc w:val="right"/>
        <w:rPr>
          <w:rFonts w:hint="eastAsia" w:ascii="仿宋_GB2312" w:hAnsi="宋体" w:eastAsia="仿宋_GB2312" w:cs="微软雅黑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教务二部</w:t>
      </w:r>
    </w:p>
    <w:p>
      <w:pPr>
        <w:spacing w:line="360" w:lineRule="auto"/>
        <w:jc w:val="right"/>
        <w:rPr>
          <w:rFonts w:hint="eastAsia" w:ascii="仿宋_GB2312" w:hAnsi="宋体" w:eastAsia="仿宋_GB2312" w:cs="微软雅黑"/>
          <w:sz w:val="32"/>
          <w:szCs w:val="32"/>
        </w:rPr>
      </w:pPr>
      <w:r>
        <w:rPr>
          <w:rFonts w:hint="eastAsia" w:ascii="仿宋_GB2312" w:hAnsi="宋体" w:eastAsia="仿宋_GB2312" w:cs="微软雅黑"/>
          <w:sz w:val="32"/>
          <w:szCs w:val="32"/>
        </w:rPr>
        <w:t>2025年1月</w:t>
      </w:r>
    </w:p>
    <w:p>
      <w:pPr>
        <w:spacing w:line="360" w:lineRule="auto"/>
        <w:rPr>
          <w:rFonts w:hint="eastAsia" w:ascii="仿宋_GB2312" w:hAnsi="宋体" w:eastAsia="仿宋_GB2312" w:cs="微软雅黑"/>
          <w:sz w:val="32"/>
          <w:szCs w:val="32"/>
        </w:rPr>
      </w:pPr>
    </w:p>
    <w:p>
      <w:pPr>
        <w:pStyle w:val="12"/>
        <w:spacing w:before="156" w:beforeLines="50" w:line="360" w:lineRule="auto"/>
        <w:rPr>
          <w:rFonts w:hint="eastAsia" w:ascii="黑体" w:hAnsi="黑体" w:eastAsia="黑体" w:cs="宋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kern w:val="0"/>
          <w:sz w:val="32"/>
          <w:szCs w:val="32"/>
        </w:rPr>
        <w:t>附件一：课程简介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rFonts w:hint="eastAsia" w:ascii="仿宋_GB2312" w:eastAsia="仿宋_GB2312" w:cs="Times New Roman" w:hAnsiTheme="minorEastAsia"/>
          <w:b/>
          <w:color w:val="000000"/>
          <w:sz w:val="32"/>
          <w:szCs w:val="32"/>
        </w:rPr>
      </w:pPr>
      <w:r>
        <w:rPr>
          <w:rFonts w:hint="eastAsia" w:ascii="仿宋_GB2312" w:eastAsia="仿宋_GB2312" w:cs="Times New Roman" w:hAnsiTheme="minorEastAsia"/>
          <w:b/>
          <w:color w:val="000000"/>
          <w:sz w:val="32"/>
          <w:szCs w:val="32"/>
        </w:rPr>
        <w:t>培训安排</w:t>
      </w:r>
    </w:p>
    <w:tbl>
      <w:tblPr>
        <w:tblStyle w:val="5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3260"/>
        <w:gridCol w:w="1843"/>
        <w:gridCol w:w="2835"/>
      </w:tblGrid>
      <w:tr>
        <w:trPr>
          <w:jc w:val="center"/>
        </w:trPr>
        <w:tc>
          <w:tcPr>
            <w:tcW w:w="1271" w:type="dxa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期数</w:t>
            </w:r>
          </w:p>
        </w:tc>
        <w:tc>
          <w:tcPr>
            <w:tcW w:w="3260" w:type="dxa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培训时间</w:t>
            </w: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报到时间</w:t>
            </w:r>
          </w:p>
        </w:tc>
        <w:tc>
          <w:tcPr>
            <w:tcW w:w="2835" w:type="dxa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培训地点</w:t>
            </w:r>
          </w:p>
        </w:tc>
      </w:tr>
      <w:tr>
        <w:trPr>
          <w:jc w:val="center"/>
        </w:trPr>
        <w:tc>
          <w:tcPr>
            <w:tcW w:w="1271" w:type="dxa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第1期</w:t>
            </w:r>
          </w:p>
        </w:tc>
        <w:tc>
          <w:tcPr>
            <w:tcW w:w="3260" w:type="dxa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4月11日-13日</w:t>
            </w: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4月10日</w:t>
            </w:r>
          </w:p>
        </w:tc>
        <w:tc>
          <w:tcPr>
            <w:tcW w:w="2835" w:type="dxa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上海国家会计学院</w:t>
            </w:r>
          </w:p>
        </w:tc>
      </w:tr>
      <w:tr>
        <w:trPr>
          <w:jc w:val="center"/>
        </w:trPr>
        <w:tc>
          <w:tcPr>
            <w:tcW w:w="1271" w:type="dxa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第</w:t>
            </w:r>
            <w:r>
              <w:rPr>
                <w:rFonts w:ascii="仿宋_GB2312" w:hAnsi="宋体" w:eastAsia="仿宋_GB2312"/>
                <w:sz w:val="32"/>
                <w:szCs w:val="32"/>
              </w:rPr>
              <w:t>2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期</w:t>
            </w:r>
          </w:p>
        </w:tc>
        <w:tc>
          <w:tcPr>
            <w:tcW w:w="3260" w:type="dxa"/>
          </w:tcPr>
          <w:p>
            <w:pPr>
              <w:spacing w:line="360" w:lineRule="auto"/>
              <w:jc w:val="center"/>
              <w:rPr>
                <w:rFonts w:hint="eastAsia" w:ascii="仿宋_GB2312" w:hAnsi="等线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等线" w:eastAsia="仿宋_GB2312"/>
                <w:bCs/>
                <w:color w:val="000000"/>
                <w:sz w:val="32"/>
                <w:szCs w:val="32"/>
              </w:rPr>
              <w:t>10月31日-11月2日</w:t>
            </w: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10月30日</w:t>
            </w:r>
          </w:p>
        </w:tc>
        <w:tc>
          <w:tcPr>
            <w:tcW w:w="2835" w:type="dxa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上海国家会计学院</w:t>
            </w:r>
          </w:p>
        </w:tc>
      </w:tr>
    </w:tbl>
    <w:p>
      <w:pPr>
        <w:spacing w:line="360" w:lineRule="auto"/>
        <w:rPr>
          <w:rFonts w:hint="eastAsia" w:ascii="仿宋_GB2312" w:eastAsia="仿宋_GB2312" w:hAnsiTheme="minorEastAsia"/>
          <w:b/>
          <w:sz w:val="32"/>
          <w:szCs w:val="32"/>
        </w:rPr>
      </w:pPr>
      <w:r>
        <w:rPr>
          <w:rFonts w:hint="eastAsia" w:ascii="仿宋_GB2312" w:eastAsia="仿宋_GB2312" w:hAnsiTheme="minorEastAsia"/>
          <w:b/>
          <w:sz w:val="32"/>
          <w:szCs w:val="32"/>
        </w:rPr>
        <w:t>二、课程目标</w:t>
      </w:r>
    </w:p>
    <w:p>
      <w:pPr>
        <w:spacing w:line="360" w:lineRule="auto"/>
        <w:rPr>
          <w:rFonts w:hint="eastAsia" w:ascii="仿宋_GB2312" w:eastAsia="仿宋_GB2312" w:cs="宋体" w:hAnsiTheme="minorEastAsia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kern w:val="0"/>
          <w:sz w:val="32"/>
          <w:szCs w:val="32"/>
        </w:rPr>
        <w:t>1.基于企业经营，充分理解财务报表，助力经营决策；</w:t>
      </w:r>
    </w:p>
    <w:p>
      <w:pPr>
        <w:spacing w:line="360" w:lineRule="auto"/>
        <w:rPr>
          <w:rFonts w:hint="eastAsia" w:ascii="仿宋_GB2312" w:eastAsia="仿宋_GB2312" w:cs="宋体" w:hAnsiTheme="minorEastAsia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kern w:val="0"/>
          <w:sz w:val="32"/>
          <w:szCs w:val="32"/>
        </w:rPr>
        <w:t>2.系统了解企业投融资策略与资金管理；</w:t>
      </w:r>
    </w:p>
    <w:p>
      <w:pPr>
        <w:spacing w:line="360" w:lineRule="auto"/>
        <w:rPr>
          <w:rFonts w:hint="eastAsia" w:ascii="仿宋_GB2312" w:eastAsia="仿宋_GB2312" w:cs="宋体" w:hAnsiTheme="minorEastAsia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kern w:val="0"/>
          <w:sz w:val="32"/>
          <w:szCs w:val="32"/>
        </w:rPr>
        <w:t>3.系统掌握公司及高管个人的税务筹划。</w:t>
      </w:r>
    </w:p>
    <w:p>
      <w:pPr>
        <w:spacing w:line="360" w:lineRule="auto"/>
        <w:rPr>
          <w:rFonts w:hint="eastAsia" w:ascii="仿宋_GB2312" w:eastAsia="仿宋_GB2312" w:cs="Times New Roman" w:hAnsiTheme="minorEastAsia"/>
          <w:b/>
          <w:color w:val="000000"/>
          <w:sz w:val="32"/>
          <w:szCs w:val="32"/>
        </w:rPr>
      </w:pPr>
      <w:r>
        <w:rPr>
          <w:rFonts w:hint="eastAsia" w:ascii="仿宋_GB2312" w:eastAsia="仿宋_GB2312" w:hAnsiTheme="minorEastAsia"/>
          <w:b/>
          <w:sz w:val="32"/>
          <w:szCs w:val="32"/>
        </w:rPr>
        <w:t>三、</w:t>
      </w:r>
      <w:r>
        <w:rPr>
          <w:rFonts w:hint="eastAsia" w:ascii="仿宋_GB2312" w:eastAsia="仿宋_GB2312" w:cs="Times New Roman" w:hAnsiTheme="minorEastAsia"/>
          <w:b/>
          <w:color w:val="000000"/>
          <w:sz w:val="32"/>
          <w:szCs w:val="32"/>
        </w:rPr>
        <w:t>培训对象</w:t>
      </w:r>
    </w:p>
    <w:p>
      <w:pPr>
        <w:spacing w:line="360" w:lineRule="auto"/>
        <w:rPr>
          <w:rFonts w:hint="eastAsia" w:ascii="仿宋_GB2312" w:eastAsia="仿宋_GB2312" w:cs="Times New Roman" w:hAnsiTheme="minorEastAsia"/>
          <w:bCs/>
          <w:color w:val="000000"/>
          <w:sz w:val="32"/>
          <w:szCs w:val="32"/>
        </w:rPr>
      </w:pPr>
      <w:r>
        <w:rPr>
          <w:rFonts w:hint="eastAsia" w:ascii="仿宋_GB2312" w:eastAsia="仿宋_GB2312" w:cs="Times New Roman" w:hAnsiTheme="minorEastAsia"/>
          <w:bCs/>
          <w:color w:val="000000"/>
          <w:sz w:val="32"/>
          <w:szCs w:val="32"/>
        </w:rPr>
        <w:t>非财务背景的高管，包括企业董事会、监事会、高层管理团队成员。</w:t>
      </w:r>
    </w:p>
    <w:p>
      <w:pPr>
        <w:spacing w:line="360" w:lineRule="auto"/>
        <w:rPr>
          <w:rFonts w:hint="eastAsia" w:ascii="仿宋_GB2312" w:eastAsia="仿宋_GB2312" w:hAnsiTheme="minorEastAsia"/>
          <w:b/>
          <w:sz w:val="32"/>
          <w:szCs w:val="32"/>
        </w:rPr>
      </w:pPr>
      <w:r>
        <w:rPr>
          <w:rFonts w:hint="eastAsia" w:ascii="仿宋_GB2312" w:eastAsia="仿宋_GB2312" w:hAnsiTheme="minorEastAsia"/>
          <w:b/>
          <w:sz w:val="32"/>
          <w:szCs w:val="32"/>
        </w:rPr>
        <w:t>四、课程内容</w:t>
      </w:r>
    </w:p>
    <w:p>
      <w:pPr>
        <w:spacing w:line="360" w:lineRule="auto"/>
        <w:rPr>
          <w:rFonts w:hint="eastAsia" w:ascii="仿宋_GB2312" w:eastAsia="仿宋_GB2312" w:cs="宋体" w:hAnsiTheme="minorEastAsia"/>
          <w:b/>
          <w:bCs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b/>
          <w:bCs/>
          <w:kern w:val="0"/>
          <w:sz w:val="32"/>
          <w:szCs w:val="32"/>
        </w:rPr>
        <w:t>（一）财务分析与公司价值创造</w:t>
      </w:r>
    </w:p>
    <w:p>
      <w:pPr>
        <w:spacing w:line="360" w:lineRule="auto"/>
        <w:rPr>
          <w:rFonts w:hint="eastAsia" w:ascii="仿宋_GB2312" w:eastAsia="仿宋_GB2312" w:cs="宋体" w:hAnsiTheme="minorEastAsia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kern w:val="0"/>
          <w:sz w:val="32"/>
          <w:szCs w:val="32"/>
        </w:rPr>
        <w:t>1.企业价值创造框架</w:t>
      </w:r>
    </w:p>
    <w:p>
      <w:pPr>
        <w:spacing w:line="360" w:lineRule="auto"/>
        <w:rPr>
          <w:rFonts w:hint="eastAsia" w:ascii="仿宋_GB2312" w:eastAsia="仿宋_GB2312" w:cs="宋体" w:hAnsiTheme="minorEastAsia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kern w:val="0"/>
          <w:sz w:val="32"/>
          <w:szCs w:val="32"/>
        </w:rPr>
        <w:t>2.业务和财务的关系</w:t>
      </w:r>
    </w:p>
    <w:p>
      <w:pPr>
        <w:spacing w:line="360" w:lineRule="auto"/>
        <w:rPr>
          <w:rFonts w:hint="eastAsia" w:ascii="仿宋_GB2312" w:eastAsia="仿宋_GB2312" w:cs="宋体" w:hAnsiTheme="minorEastAsia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kern w:val="0"/>
          <w:sz w:val="32"/>
          <w:szCs w:val="32"/>
        </w:rPr>
        <w:t>3.从战略高度和业务视角分析企业财务报表</w:t>
      </w:r>
    </w:p>
    <w:p>
      <w:pPr>
        <w:spacing w:line="360" w:lineRule="auto"/>
        <w:rPr>
          <w:rFonts w:hint="eastAsia" w:ascii="仿宋_GB2312" w:eastAsia="仿宋_GB2312" w:cs="宋体" w:hAnsiTheme="minorEastAsia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kern w:val="0"/>
          <w:sz w:val="32"/>
          <w:szCs w:val="32"/>
        </w:rPr>
        <w:t>4.分析和评价公司的财务风险</w:t>
      </w:r>
    </w:p>
    <w:p>
      <w:pPr>
        <w:spacing w:line="360" w:lineRule="auto"/>
        <w:rPr>
          <w:rFonts w:hint="eastAsia" w:ascii="仿宋_GB2312" w:eastAsia="仿宋_GB2312" w:cs="宋体" w:hAnsiTheme="minorEastAsia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kern w:val="0"/>
          <w:sz w:val="32"/>
          <w:szCs w:val="32"/>
        </w:rPr>
        <w:t>5.综合案例</w:t>
      </w:r>
    </w:p>
    <w:p>
      <w:pPr>
        <w:spacing w:line="360" w:lineRule="auto"/>
        <w:rPr>
          <w:rFonts w:hint="eastAsia" w:ascii="仿宋_GB2312" w:eastAsia="仿宋_GB2312" w:cs="宋体" w:hAnsiTheme="minorEastAsia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b/>
          <w:kern w:val="0"/>
          <w:sz w:val="32"/>
          <w:szCs w:val="32"/>
        </w:rPr>
        <w:t>（二）投融资决策与资金管理</w:t>
      </w:r>
    </w:p>
    <w:p>
      <w:pPr>
        <w:pStyle w:val="12"/>
        <w:spacing w:line="360" w:lineRule="auto"/>
        <w:rPr>
          <w:rFonts w:hint="eastAsia" w:ascii="仿宋_GB2312" w:eastAsia="仿宋_GB2312" w:cs="宋体" w:hAnsiTheme="minorEastAsia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kern w:val="0"/>
          <w:sz w:val="32"/>
          <w:szCs w:val="32"/>
        </w:rPr>
        <w:t>1.ESG与公司战略</w:t>
      </w:r>
    </w:p>
    <w:p>
      <w:pPr>
        <w:pStyle w:val="12"/>
        <w:spacing w:line="360" w:lineRule="auto"/>
        <w:rPr>
          <w:rFonts w:hint="eastAsia" w:ascii="仿宋_GB2312" w:eastAsia="仿宋_GB2312" w:cs="宋体" w:hAnsiTheme="minorEastAsia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kern w:val="0"/>
          <w:sz w:val="32"/>
          <w:szCs w:val="32"/>
        </w:rPr>
        <w:t>2.投资决策与资本预算</w:t>
      </w:r>
    </w:p>
    <w:p>
      <w:pPr>
        <w:pStyle w:val="12"/>
        <w:spacing w:line="360" w:lineRule="auto"/>
        <w:rPr>
          <w:rFonts w:hint="eastAsia" w:ascii="仿宋_GB2312" w:eastAsia="仿宋_GB2312" w:cs="宋体" w:hAnsiTheme="minorEastAsia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kern w:val="0"/>
          <w:sz w:val="32"/>
          <w:szCs w:val="32"/>
        </w:rPr>
        <w:t>3.金融工具与融资策略</w:t>
      </w:r>
    </w:p>
    <w:p>
      <w:pPr>
        <w:pStyle w:val="12"/>
        <w:spacing w:line="360" w:lineRule="auto"/>
        <w:rPr>
          <w:rFonts w:hint="eastAsia" w:ascii="仿宋_GB2312" w:eastAsia="仿宋_GB2312" w:cs="宋体" w:hAnsiTheme="minorEastAsia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kern w:val="0"/>
          <w:sz w:val="32"/>
          <w:szCs w:val="32"/>
        </w:rPr>
        <w:t>4.现金流与营运资本管理</w:t>
      </w:r>
    </w:p>
    <w:p>
      <w:pPr>
        <w:pStyle w:val="12"/>
        <w:spacing w:line="360" w:lineRule="auto"/>
        <w:rPr>
          <w:rFonts w:hint="eastAsia" w:ascii="仿宋_GB2312" w:eastAsia="仿宋_GB2312" w:cs="宋体" w:hAnsiTheme="minorEastAsia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kern w:val="0"/>
          <w:sz w:val="32"/>
          <w:szCs w:val="32"/>
        </w:rPr>
        <w:t>5.典型案例分析</w:t>
      </w:r>
    </w:p>
    <w:p>
      <w:pPr>
        <w:pStyle w:val="12"/>
        <w:spacing w:line="360" w:lineRule="auto"/>
        <w:rPr>
          <w:rFonts w:hint="eastAsia"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（三）税费政策、税收征管与企业应对</w:t>
      </w:r>
    </w:p>
    <w:p>
      <w:pPr>
        <w:pStyle w:val="12"/>
        <w:spacing w:line="360" w:lineRule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1.延续优化的税费政策，应享尽享</w:t>
      </w:r>
    </w:p>
    <w:p>
      <w:pPr>
        <w:pStyle w:val="12"/>
        <w:spacing w:line="360" w:lineRule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（1）支持小微市场主体的税费优惠</w:t>
      </w:r>
    </w:p>
    <w:p>
      <w:pPr>
        <w:pStyle w:val="12"/>
        <w:spacing w:line="360" w:lineRule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（2）支持创业就业的税费优惠</w:t>
      </w:r>
    </w:p>
    <w:p>
      <w:pPr>
        <w:pStyle w:val="12"/>
        <w:spacing w:line="360" w:lineRule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（3）聚焦科技创新、重点产业链的税费优惠</w:t>
      </w:r>
    </w:p>
    <w:p>
      <w:pPr>
        <w:pStyle w:val="12"/>
        <w:spacing w:line="360" w:lineRule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（4）支持设备更新和消费品以旧换新的税收优惠</w:t>
      </w:r>
    </w:p>
    <w:p>
      <w:pPr>
        <w:pStyle w:val="12"/>
        <w:spacing w:line="360" w:lineRule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（5）降低个人所得税税负</w:t>
      </w:r>
    </w:p>
    <w:p>
      <w:pPr>
        <w:pStyle w:val="12"/>
        <w:spacing w:line="360" w:lineRule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（6）特定领域的税费新优惠</w:t>
      </w:r>
    </w:p>
    <w:p>
      <w:pPr>
        <w:pStyle w:val="12"/>
        <w:spacing w:line="360" w:lineRule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（7）延续实施的重要税费优惠</w:t>
      </w:r>
    </w:p>
    <w:p>
      <w:pPr>
        <w:pStyle w:val="12"/>
        <w:spacing w:line="360" w:lineRule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2.税收征管新形势与应对</w:t>
      </w:r>
    </w:p>
    <w:p>
      <w:pPr>
        <w:pStyle w:val="12"/>
        <w:spacing w:line="360" w:lineRule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（1）加强征管的典型案例</w:t>
      </w:r>
    </w:p>
    <w:p>
      <w:pPr>
        <w:pStyle w:val="12"/>
        <w:spacing w:line="360" w:lineRule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（2）金税四期智慧税务</w:t>
      </w:r>
    </w:p>
    <w:p>
      <w:pPr>
        <w:pStyle w:val="12"/>
        <w:spacing w:line="360" w:lineRule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（3）高净值人士的税收风险与应对</w:t>
      </w:r>
    </w:p>
    <w:p>
      <w:pPr>
        <w:pStyle w:val="12"/>
        <w:spacing w:line="360" w:lineRule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（4）“两高”《关于办理危害税收征管刑事案件适用法律若干问题的解释》要点</w:t>
      </w:r>
    </w:p>
    <w:p>
      <w:pPr>
        <w:pStyle w:val="12"/>
        <w:spacing w:line="360" w:lineRule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3.税制改革与企业应对</w:t>
      </w:r>
    </w:p>
    <w:p>
      <w:pPr>
        <w:pStyle w:val="12"/>
        <w:spacing w:line="360" w:lineRule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（1）新《公司法》的税收影响</w:t>
      </w:r>
    </w:p>
    <w:p>
      <w:pPr>
        <w:pStyle w:val="12"/>
        <w:spacing w:line="360" w:lineRule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（2）增值税立法与改革趋势</w:t>
      </w:r>
    </w:p>
    <w:p>
      <w:pPr>
        <w:pStyle w:val="12"/>
        <w:spacing w:line="360" w:lineRule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（3）消费税立法与改革趋势</w:t>
      </w:r>
    </w:p>
    <w:p>
      <w:pPr>
        <w:pStyle w:val="12"/>
        <w:spacing w:line="360" w:lineRule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</w:t>
      </w:r>
      <w:r>
        <w:rPr>
          <w:rFonts w:ascii="仿宋_GB2312" w:hAnsi="仿宋" w:eastAsia="仿宋_GB2312"/>
          <w:sz w:val="32"/>
          <w:szCs w:val="32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）个人所得税筹划与改革趋势</w:t>
      </w:r>
    </w:p>
    <w:p>
      <w:pPr>
        <w:spacing w:line="360" w:lineRule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</w:t>
      </w:r>
      <w:r>
        <w:rPr>
          <w:rFonts w:ascii="仿宋_GB2312" w:hAnsi="仿宋" w:eastAsia="仿宋_GB2312"/>
          <w:sz w:val="32"/>
          <w:szCs w:val="32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）房地产税立法进展</w:t>
      </w:r>
    </w:p>
    <w:p>
      <w:pPr>
        <w:spacing w:line="360" w:lineRule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</w:t>
      </w:r>
      <w:r>
        <w:rPr>
          <w:rFonts w:ascii="仿宋_GB2312" w:hAnsi="仿宋" w:eastAsia="仿宋_GB2312"/>
          <w:sz w:val="32"/>
          <w:szCs w:val="32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）社会保险缴费征管改革的挑战与应对</w:t>
      </w:r>
    </w:p>
    <w:p>
      <w:pPr>
        <w:spacing w:line="360" w:lineRule="auto"/>
        <w:rPr>
          <w:rFonts w:hint="eastAsia" w:ascii="仿宋_GB2312" w:eastAsia="仿宋_GB2312" w:cs="宋体" w:hAnsiTheme="minorEastAsia"/>
          <w:b/>
          <w:bCs/>
          <w:kern w:val="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</w:t>
      </w:r>
      <w:r>
        <w:rPr>
          <w:rFonts w:ascii="仿宋_GB2312" w:hAnsi="仿宋" w:eastAsia="仿宋_GB2312"/>
          <w:sz w:val="32"/>
          <w:szCs w:val="32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>）数据资产的税收问题</w:t>
      </w:r>
    </w:p>
    <w:p>
      <w:pPr>
        <w:spacing w:line="360" w:lineRule="auto"/>
        <w:rPr>
          <w:rFonts w:hint="eastAsia" w:ascii="仿宋_GB2312" w:eastAsia="仿宋_GB2312" w:cs="宋体" w:hAnsiTheme="minorEastAsia"/>
          <w:b/>
          <w:bCs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b/>
          <w:bCs/>
          <w:kern w:val="0"/>
          <w:sz w:val="32"/>
          <w:szCs w:val="32"/>
        </w:rPr>
        <w:t>五、拟邀师资</w:t>
      </w:r>
    </w:p>
    <w:p>
      <w:pPr>
        <w:spacing w:line="360" w:lineRule="auto"/>
        <w:rPr>
          <w:rFonts w:hint="eastAsia" w:ascii="仿宋_GB2312" w:eastAsia="仿宋_GB2312" w:cs="宋体" w:hAnsiTheme="minorEastAsia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kern w:val="0"/>
          <w:sz w:val="32"/>
          <w:szCs w:val="32"/>
        </w:rPr>
        <w:t>葛老师：上海国家会计学院副教授，应用经济系主任，曾挂职于财政部条法司，全国税务领军人才。</w:t>
      </w:r>
    </w:p>
    <w:p>
      <w:pPr>
        <w:spacing w:line="360" w:lineRule="auto"/>
        <w:rPr>
          <w:rFonts w:hint="eastAsia" w:ascii="仿宋_GB2312" w:eastAsia="仿宋_GB2312" w:cs="宋体" w:hAnsiTheme="minorEastAsia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kern w:val="0"/>
          <w:sz w:val="32"/>
          <w:szCs w:val="32"/>
        </w:rPr>
        <w:t>郜老师：博士，高级会计师。多家上市公司独立董事。</w:t>
      </w:r>
    </w:p>
    <w:p>
      <w:pPr>
        <w:spacing w:line="360" w:lineRule="auto"/>
        <w:rPr>
          <w:rFonts w:hint="eastAsia" w:ascii="仿宋_GB2312" w:eastAsia="仿宋_GB2312" w:cs="宋体" w:hAnsiTheme="minorEastAsia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kern w:val="0"/>
          <w:sz w:val="32"/>
          <w:szCs w:val="32"/>
        </w:rPr>
        <w:t>王老师：上海财经大学副教授。</w:t>
      </w:r>
    </w:p>
    <w:p>
      <w:pPr>
        <w:spacing w:line="360" w:lineRule="auto"/>
        <w:rPr>
          <w:rFonts w:hint="eastAsia" w:ascii="仿宋_GB2312" w:eastAsia="仿宋_GB2312" w:cs="宋体" w:hAnsiTheme="minorEastAsia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kern w:val="0"/>
          <w:sz w:val="32"/>
          <w:szCs w:val="32"/>
        </w:rPr>
        <w:t>以及其他资深实务专家。</w:t>
      </w:r>
    </w:p>
    <w:p>
      <w:pPr>
        <w:spacing w:line="360" w:lineRule="auto"/>
        <w:rPr>
          <w:rFonts w:hint="eastAsia" w:ascii="仿宋_GB2312" w:eastAsia="仿宋_GB2312" w:hAnsiTheme="minorEastAsia"/>
          <w:b/>
          <w:sz w:val="32"/>
          <w:szCs w:val="32"/>
        </w:rPr>
      </w:pPr>
      <w:r>
        <w:rPr>
          <w:rFonts w:hint="eastAsia" w:ascii="仿宋_GB2312" w:eastAsia="仿宋_GB2312" w:hAnsiTheme="minorEastAsia"/>
          <w:b/>
          <w:sz w:val="32"/>
          <w:szCs w:val="32"/>
        </w:rPr>
        <w:t>六、收费标准</w:t>
      </w:r>
    </w:p>
    <w:p>
      <w:pPr>
        <w:spacing w:line="360" w:lineRule="auto"/>
        <w:rPr>
          <w:rFonts w:hint="eastAsia" w:ascii="仿宋_GB2312" w:eastAsia="仿宋_GB2312" w:cs="宋体" w:hAnsiTheme="minorEastAsia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kern w:val="0"/>
          <w:sz w:val="32"/>
          <w:szCs w:val="32"/>
        </w:rPr>
        <w:t>1.培训费：</w:t>
      </w:r>
      <w:r>
        <w:rPr>
          <w:rFonts w:ascii="仿宋_GB2312" w:eastAsia="仿宋_GB2312" w:cs="宋体" w:hAnsiTheme="minorEastAsia"/>
          <w:kern w:val="0"/>
          <w:sz w:val="32"/>
          <w:szCs w:val="32"/>
        </w:rPr>
        <w:t>6</w:t>
      </w:r>
      <w:r>
        <w:rPr>
          <w:rFonts w:hint="eastAsia" w:ascii="仿宋_GB2312" w:eastAsia="仿宋_GB2312" w:cs="宋体" w:hAnsiTheme="minorEastAsia"/>
          <w:kern w:val="0"/>
          <w:sz w:val="32"/>
          <w:szCs w:val="32"/>
        </w:rPr>
        <w:t>800元</w:t>
      </w:r>
    </w:p>
    <w:p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2.食宿统一安排，费用自理，具体标准以开课通知为准。</w:t>
      </w:r>
    </w:p>
    <w:p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3.费用支付方式：培训费由上海国家会计学院收取，支付宝/微信扫码、汇款。食宿费由酒店收取，现场支付。</w:t>
      </w:r>
    </w:p>
    <w:p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4.关于发票：培训费发票由学院提供；食宿发票由酒店提供。</w:t>
      </w:r>
    </w:p>
    <w:p>
      <w:pPr>
        <w:widowControl/>
        <w:spacing w:line="360" w:lineRule="auto"/>
        <w:jc w:val="left"/>
        <w:rPr>
          <w:rFonts w:hint="eastAsia" w:ascii="仿宋_GB2312" w:eastAsia="仿宋_GB2312" w:hAnsiTheme="minorEastAsia"/>
          <w:b/>
          <w:color w:val="000000"/>
          <w:sz w:val="32"/>
          <w:szCs w:val="32"/>
        </w:rPr>
      </w:pPr>
      <w:r>
        <w:rPr>
          <w:rFonts w:hint="eastAsia" w:ascii="仿宋_GB2312" w:eastAsia="仿宋_GB2312" w:hAnsiTheme="minorEastAsia"/>
          <w:b/>
          <w:color w:val="000000"/>
          <w:sz w:val="32"/>
          <w:szCs w:val="32"/>
        </w:rPr>
        <w:t>六、结业证书</w:t>
      </w:r>
    </w:p>
    <w:p>
      <w:pPr>
        <w:spacing w:line="360" w:lineRule="auto"/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sz w:val="32"/>
          <w:szCs w:val="32"/>
        </w:rPr>
        <w:t>培训班结束后由学院颁发结业证书，并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注明学时。但是否可以作为继续教育学时，烦请学员咨询当地主管部门。</w:t>
      </w:r>
    </w:p>
    <w:p>
      <w:pPr>
        <w:widowControl/>
        <w:spacing w:line="360" w:lineRule="auto"/>
        <w:jc w:val="left"/>
        <w:rPr>
          <w:rFonts w:hint="eastAsia" w:ascii="仿宋_GB2312" w:eastAsia="仿宋_GB2312" w:hAnsiTheme="minorEastAsia"/>
          <w:b/>
          <w:color w:val="000000"/>
          <w:sz w:val="32"/>
          <w:szCs w:val="32"/>
        </w:rPr>
      </w:pPr>
      <w:r>
        <w:rPr>
          <w:rFonts w:hint="eastAsia" w:ascii="仿宋_GB2312" w:eastAsia="仿宋_GB2312" w:hAnsiTheme="minorEastAsia"/>
          <w:b/>
          <w:color w:val="000000"/>
          <w:sz w:val="32"/>
          <w:szCs w:val="32"/>
        </w:rPr>
        <w:t>七、报名咨询</w:t>
      </w:r>
    </w:p>
    <w:p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请参加人员填写《报名表》（附后），我们将在开课前一周向报名学员发送《开课通知》。</w:t>
      </w:r>
    </w:p>
    <w:p>
      <w:pPr>
        <w:spacing w:line="360" w:lineRule="auto"/>
        <w:rPr>
          <w:rFonts w:hint="default" w:ascii="仿宋_GB2312" w:hAnsi="宋体" w:eastAsia="仿宋_GB2312"/>
          <w:sz w:val="32"/>
          <w:szCs w:val="32"/>
          <w:lang w:val="en-US" w:eastAsia="zh-Hans"/>
        </w:rPr>
      </w:pPr>
      <w:r>
        <w:rPr>
          <w:rFonts w:hint="eastAsia" w:ascii="仿宋_GB2312" w:hAnsi="宋体" w:eastAsia="仿宋_GB2312"/>
          <w:sz w:val="32"/>
          <w:szCs w:val="32"/>
          <w:lang w:val="en-US" w:eastAsia="zh-Hans"/>
        </w:rPr>
        <w:t>报名咨询</w:t>
      </w:r>
    </w:p>
    <w:p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联系人：黄老师18610843353（同微信）</w:t>
      </w:r>
    </w:p>
    <w:p>
      <w:pPr>
        <w:spacing w:line="360" w:lineRule="auto"/>
        <w:rPr>
          <w:rStyle w:val="7"/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邮箱：</w:t>
      </w:r>
      <w:r>
        <w:fldChar w:fldCharType="begin"/>
      </w:r>
      <w:r>
        <w:instrText xml:space="preserve"> HYPERLINK "mailto:51413235@163.com" </w:instrText>
      </w:r>
      <w:r>
        <w:fldChar w:fldCharType="separate"/>
      </w:r>
      <w:r>
        <w:rPr>
          <w:rStyle w:val="7"/>
          <w:rFonts w:ascii="仿宋_GB2312" w:hAnsi="宋体" w:eastAsia="仿宋_GB2312"/>
          <w:sz w:val="32"/>
          <w:szCs w:val="32"/>
        </w:rPr>
        <w:t>284828890@qq.com</w:t>
      </w:r>
      <w:r>
        <w:rPr>
          <w:rStyle w:val="7"/>
          <w:rFonts w:ascii="仿宋_GB2312" w:hAnsi="宋体" w:eastAsia="仿宋_GB2312"/>
          <w:sz w:val="32"/>
          <w:szCs w:val="32"/>
        </w:rPr>
        <w:fldChar w:fldCharType="end"/>
      </w:r>
    </w:p>
    <w:p>
      <w:pPr>
        <w:spacing w:line="360" w:lineRule="auto"/>
        <w:rPr>
          <w:rFonts w:hint="eastAsia" w:ascii="仿宋_GB2312" w:hAnsi="仿宋" w:eastAsia="仿宋_GB2312"/>
          <w:sz w:val="32"/>
          <w:szCs w:val="32"/>
          <w:lang w:val="en-US" w:eastAsia="zh-Hans"/>
        </w:rPr>
      </w:pPr>
      <w:r>
        <w:rPr>
          <w:rFonts w:hint="eastAsia" w:ascii="仿宋_GB2312" w:hAnsi="仿宋" w:eastAsia="仿宋_GB2312"/>
          <w:sz w:val="32"/>
          <w:szCs w:val="32"/>
          <w:lang w:val="en-US" w:eastAsia="zh-Hans"/>
        </w:rPr>
        <w:t>课程咨询</w:t>
      </w:r>
    </w:p>
    <w:p>
      <w:pPr>
        <w:spacing w:line="360" w:lineRule="auto"/>
        <w:rPr>
          <w:rFonts w:hint="eastAsia" w:ascii="仿宋_GB2312" w:hAnsi="仿宋" w:eastAsia="仿宋_GB2312"/>
          <w:sz w:val="32"/>
          <w:szCs w:val="32"/>
          <w:lang w:val="en-US" w:eastAsia="zh-Hans"/>
        </w:rPr>
      </w:pPr>
      <w:r>
        <w:rPr>
          <w:rFonts w:hint="eastAsia" w:ascii="仿宋_GB2312" w:hAnsi="仿宋" w:eastAsia="仿宋_GB2312"/>
          <w:sz w:val="32"/>
          <w:szCs w:val="32"/>
          <w:lang w:val="en-US" w:eastAsia="zh-Hans"/>
        </w:rPr>
        <w:t>联系人</w:t>
      </w:r>
      <w:r>
        <w:rPr>
          <w:rFonts w:hint="default" w:ascii="仿宋_GB2312" w:hAnsi="仿宋" w:eastAsia="仿宋_GB2312"/>
          <w:sz w:val="32"/>
          <w:szCs w:val="32"/>
          <w:lang w:eastAsia="zh-Hans"/>
        </w:rPr>
        <w:t>：</w:t>
      </w:r>
      <w:r>
        <w:rPr>
          <w:rFonts w:hint="eastAsia" w:ascii="仿宋_GB2312" w:hAnsi="仿宋" w:eastAsia="仿宋_GB2312"/>
          <w:sz w:val="32"/>
          <w:szCs w:val="32"/>
          <w:lang w:val="en-US" w:eastAsia="zh-Hans"/>
        </w:rPr>
        <w:t xml:space="preserve">曹老师021-39768217 </w:t>
      </w:r>
    </w:p>
    <w:p>
      <w:pPr>
        <w:spacing w:line="360" w:lineRule="auto"/>
        <w:rPr>
          <w:rFonts w:hint="default" w:ascii="仿宋_GB2312" w:hAnsi="仿宋" w:eastAsia="仿宋_GB2312"/>
          <w:sz w:val="32"/>
          <w:szCs w:val="32"/>
          <w:lang w:val="en-US" w:eastAsia="zh-Hans"/>
        </w:rPr>
      </w:pPr>
      <w:r>
        <w:rPr>
          <w:rFonts w:hint="eastAsia" w:ascii="仿宋_GB2312" w:hAnsi="仿宋" w:eastAsia="仿宋_GB2312"/>
          <w:sz w:val="32"/>
          <w:szCs w:val="32"/>
          <w:lang w:val="en-US" w:eastAsia="zh-Hans"/>
        </w:rPr>
        <w:t>邮箱：caoning@snai.edu</w:t>
      </w:r>
    </w:p>
    <w:p>
      <w:pPr>
        <w:spacing w:line="360" w:lineRule="auto"/>
        <w:rPr>
          <w:rStyle w:val="7"/>
          <w:rFonts w:hint="eastAsia" w:ascii="仿宋_GB2312" w:hAnsi="宋体" w:eastAsia="仿宋_GB2312"/>
          <w:sz w:val="32"/>
          <w:szCs w:val="32"/>
        </w:rPr>
      </w:pPr>
      <w:bookmarkStart w:id="0" w:name="_GoBack"/>
      <w:bookmarkEnd w:id="0"/>
    </w:p>
    <w:p>
      <w:pPr>
        <w:spacing w:line="360" w:lineRule="auto"/>
        <w:rPr>
          <w:rStyle w:val="7"/>
          <w:rFonts w:hint="eastAsia" w:ascii="仿宋_GB2312" w:hAnsi="宋体" w:eastAsia="仿宋_GB2312"/>
          <w:sz w:val="32"/>
          <w:szCs w:val="32"/>
        </w:rPr>
      </w:pPr>
    </w:p>
    <w:p>
      <w:pPr>
        <w:spacing w:line="360" w:lineRule="auto"/>
        <w:rPr>
          <w:rStyle w:val="7"/>
          <w:rFonts w:hint="eastAsia" w:ascii="仿宋_GB2312" w:hAnsi="宋体" w:eastAsia="仿宋_GB2312"/>
          <w:sz w:val="32"/>
          <w:szCs w:val="32"/>
        </w:rPr>
      </w:pPr>
    </w:p>
    <w:p>
      <w:pPr>
        <w:spacing w:line="360" w:lineRule="auto"/>
        <w:rPr>
          <w:rStyle w:val="7"/>
          <w:rFonts w:hint="eastAsia" w:ascii="仿宋_GB2312" w:hAnsi="宋体" w:eastAsia="仿宋_GB2312"/>
          <w:sz w:val="32"/>
          <w:szCs w:val="32"/>
        </w:rPr>
      </w:pPr>
    </w:p>
    <w:p>
      <w:pPr>
        <w:spacing w:line="360" w:lineRule="auto"/>
        <w:rPr>
          <w:rStyle w:val="7"/>
          <w:rFonts w:hint="eastAsia" w:ascii="仿宋_GB2312" w:hAnsi="宋体" w:eastAsia="仿宋_GB2312"/>
          <w:sz w:val="32"/>
          <w:szCs w:val="32"/>
        </w:rPr>
      </w:pPr>
    </w:p>
    <w:p>
      <w:pPr>
        <w:spacing w:line="360" w:lineRule="auto"/>
        <w:rPr>
          <w:rStyle w:val="7"/>
          <w:rFonts w:hint="eastAsia" w:ascii="仿宋_GB2312" w:hAnsi="宋体" w:eastAsia="仿宋_GB2312"/>
          <w:sz w:val="32"/>
          <w:szCs w:val="32"/>
        </w:rPr>
      </w:pPr>
    </w:p>
    <w:p>
      <w:pPr>
        <w:widowControl/>
        <w:tabs>
          <w:tab w:val="center" w:pos="4766"/>
          <w:tab w:val="left" w:pos="6716"/>
        </w:tabs>
        <w:spacing w:line="480" w:lineRule="exact"/>
        <w:rPr>
          <w:rFonts w:hint="eastAsia" w:ascii="黑体" w:hAnsi="黑体" w:eastAsia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/>
          <w:bCs/>
          <w:color w:val="000000"/>
          <w:sz w:val="32"/>
          <w:szCs w:val="32"/>
        </w:rPr>
        <w:t>附件二：</w:t>
      </w:r>
    </w:p>
    <w:p>
      <w:pPr>
        <w:widowControl/>
        <w:tabs>
          <w:tab w:val="center" w:pos="4766"/>
          <w:tab w:val="left" w:pos="6716"/>
        </w:tabs>
        <w:spacing w:line="480" w:lineRule="exact"/>
        <w:ind w:firstLine="961" w:firstLineChars="300"/>
        <w:jc w:val="center"/>
        <w:rPr>
          <w:rFonts w:hint="eastAsia" w:ascii="黑体" w:hAnsi="黑体" w:eastAsia="黑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32"/>
          <w:szCs w:val="32"/>
        </w:rPr>
        <w:t>上海国家会计学院</w:t>
      </w:r>
    </w:p>
    <w:p>
      <w:pPr>
        <w:widowControl/>
        <w:tabs>
          <w:tab w:val="center" w:pos="4766"/>
          <w:tab w:val="left" w:pos="6716"/>
        </w:tabs>
        <w:spacing w:line="480" w:lineRule="exact"/>
        <w:ind w:firstLine="961" w:firstLineChars="300"/>
        <w:jc w:val="center"/>
        <w:rPr>
          <w:rFonts w:hint="eastAsia" w:ascii="黑体" w:hAnsi="黑体" w:eastAsia="黑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32"/>
          <w:szCs w:val="32"/>
        </w:rPr>
        <w:t>“非财高管的财务管理与价值创造”研修班</w:t>
      </w:r>
    </w:p>
    <w:p>
      <w:pPr>
        <w:widowControl/>
        <w:tabs>
          <w:tab w:val="center" w:pos="4766"/>
          <w:tab w:val="left" w:pos="6716"/>
        </w:tabs>
        <w:spacing w:line="480" w:lineRule="exact"/>
        <w:ind w:firstLine="961" w:firstLineChars="300"/>
        <w:jc w:val="center"/>
        <w:rPr>
          <w:rFonts w:hint="eastAsia" w:ascii="等线" w:hAnsi="等线" w:eastAsia="等线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32"/>
          <w:szCs w:val="32"/>
        </w:rPr>
        <w:t>报名表</w:t>
      </w:r>
    </w:p>
    <w:tbl>
      <w:tblPr>
        <w:tblStyle w:val="5"/>
        <w:tblpPr w:leftFromText="180" w:rightFromText="180" w:vertAnchor="text" w:horzAnchor="page" w:tblpX="1455" w:tblpY="156"/>
        <w:tblOverlap w:val="never"/>
        <w:tblW w:w="929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"/>
        <w:gridCol w:w="767"/>
        <w:gridCol w:w="368"/>
        <w:gridCol w:w="699"/>
        <w:gridCol w:w="1102"/>
        <w:gridCol w:w="467"/>
        <w:gridCol w:w="1275"/>
        <w:gridCol w:w="606"/>
        <w:gridCol w:w="670"/>
        <w:gridCol w:w="1789"/>
      </w:tblGrid>
      <w:tr>
        <w:trPr>
          <w:trHeight w:val="644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before="156" w:after="156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单位名称</w:t>
            </w:r>
          </w:p>
        </w:tc>
        <w:tc>
          <w:tcPr>
            <w:tcW w:w="4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autoSpaceDN w:val="0"/>
              <w:ind w:right="960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N w:val="0"/>
              <w:ind w:right="211"/>
              <w:jc w:val="righ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单位所在地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N w:val="0"/>
              <w:jc w:val="righ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/>
                <w:bCs/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省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/>
                <w:bCs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市</w:t>
            </w:r>
          </w:p>
        </w:tc>
      </w:tr>
      <w:tr>
        <w:trPr>
          <w:trHeight w:val="580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t>联系人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姓名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手机</w:t>
            </w: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t>邮箱</w:t>
            </w:r>
          </w:p>
        </w:tc>
        <w:tc>
          <w:tcPr>
            <w:tcW w:w="2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rPr>
          <w:trHeight w:val="616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学员姓名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hint="eastAsia" w:ascii="宋体" w:hAnsi="宋体"/>
                <w:b/>
                <w:color w:val="000000"/>
                <w:spacing w:val="-26"/>
                <w:szCs w:val="21"/>
              </w:rPr>
            </w:pPr>
            <w:r>
              <w:rPr>
                <w:rFonts w:ascii="宋体" w:hAnsi="宋体"/>
                <w:b/>
                <w:color w:val="000000"/>
                <w:spacing w:val="-26"/>
                <w:szCs w:val="21"/>
              </w:rPr>
              <w:t>性别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部门</w:t>
            </w: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职务</w:t>
            </w:r>
          </w:p>
        </w:tc>
        <w:tc>
          <w:tcPr>
            <w:tcW w:w="1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手机</w:t>
            </w:r>
          </w:p>
        </w:tc>
        <w:tc>
          <w:tcPr>
            <w:tcW w:w="2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t>邮箱</w:t>
            </w:r>
          </w:p>
        </w:tc>
      </w:tr>
      <w:tr>
        <w:trPr>
          <w:trHeight w:val="616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hint="eastAsia" w:ascii="仿宋" w:hAnsi="仿宋" w:eastAsia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</w:tr>
      <w:tr>
        <w:trPr>
          <w:trHeight w:val="616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hint="eastAsia" w:ascii="仿宋" w:hAnsi="仿宋" w:eastAsia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</w:tr>
      <w:tr>
        <w:trPr>
          <w:trHeight w:val="616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hint="eastAsia" w:ascii="仿宋" w:hAnsi="仿宋" w:eastAsia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</w:tr>
      <w:tr>
        <w:trPr>
          <w:trHeight w:val="616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hint="eastAsia" w:ascii="仿宋" w:hAnsi="仿宋" w:eastAsia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</w:tr>
      <w:tr>
        <w:trPr>
          <w:trHeight w:val="616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hint="eastAsia" w:ascii="仿宋" w:hAnsi="仿宋" w:eastAsia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</w:tr>
      <w:tr>
        <w:trPr>
          <w:trHeight w:val="616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hint="eastAsia" w:ascii="仿宋" w:hAnsi="仿宋" w:eastAsia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</w:tr>
      <w:tr>
        <w:trPr>
          <w:trHeight w:val="616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hint="eastAsia" w:ascii="仿宋" w:hAnsi="仿宋" w:eastAsia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</w:tr>
      <w:tr>
        <w:trPr>
          <w:trHeight w:val="616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hint="eastAsia" w:ascii="仿宋" w:hAnsi="仿宋" w:eastAsia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</w:tr>
      <w:tr>
        <w:trPr>
          <w:trHeight w:val="1296" w:hRule="atLeast"/>
        </w:trPr>
        <w:tc>
          <w:tcPr>
            <w:tcW w:w="44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报名程序：</w:t>
            </w:r>
          </w:p>
          <w:p>
            <w:pPr>
              <w:tabs>
                <w:tab w:val="left" w:pos="360"/>
                <w:tab w:val="left" w:pos="540"/>
              </w:tabs>
              <w:autoSpaceDN w:val="0"/>
              <w:ind w:left="27"/>
              <w:jc w:val="left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培训费支付：刷卡/支付宝/微信/汇款，其中院外培训不支持刷卡。食宿费现场交纳。</w:t>
            </w:r>
          </w:p>
        </w:tc>
        <w:tc>
          <w:tcPr>
            <w:tcW w:w="48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学院账户：</w:t>
            </w:r>
          </w:p>
          <w:p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学院开户行：中国建设银行上海徐泾支行</w:t>
            </w:r>
          </w:p>
          <w:p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单位名称：上海国家会计学院</w:t>
            </w:r>
          </w:p>
          <w:p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汇款账号：31001984300059768088</w:t>
            </w:r>
          </w:p>
        </w:tc>
      </w:tr>
      <w:tr>
        <w:trPr>
          <w:trHeight w:val="853" w:hRule="atLeast"/>
        </w:trPr>
        <w:tc>
          <w:tcPr>
            <w:tcW w:w="929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60"/>
                <w:tab w:val="left" w:pos="540"/>
              </w:tabs>
              <w:autoSpaceDN w:val="0"/>
              <w:spacing w:line="360" w:lineRule="exact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报名咨询：</w:t>
            </w:r>
          </w:p>
          <w:p>
            <w:pPr>
              <w:tabs>
                <w:tab w:val="left" w:pos="360"/>
                <w:tab w:val="left" w:pos="540"/>
              </w:tabs>
              <w:autoSpaceDN w:val="0"/>
              <w:spacing w:line="360" w:lineRule="exact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黄老师：18610843353（同微信）  邮箱：</w:t>
            </w:r>
            <w:r>
              <w:rPr>
                <w:rFonts w:ascii="宋体" w:hAnsi="宋体"/>
                <w:bCs/>
                <w:color w:val="000000"/>
                <w:szCs w:val="21"/>
              </w:rPr>
              <w:t>284828890@qq.com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 </w:t>
            </w:r>
          </w:p>
        </w:tc>
      </w:tr>
    </w:tbl>
    <w:p>
      <w:pPr>
        <w:widowControl/>
        <w:tabs>
          <w:tab w:val="center" w:pos="4766"/>
          <w:tab w:val="left" w:pos="6716"/>
        </w:tabs>
        <w:spacing w:line="480" w:lineRule="exact"/>
        <w:ind w:firstLine="961" w:firstLineChars="300"/>
        <w:jc w:val="center"/>
        <w:rPr>
          <w:rFonts w:hint="eastAsia" w:ascii="黑体" w:hAnsi="黑体" w:eastAsia="黑体" w:cs="宋体"/>
          <w:b/>
          <w:bCs/>
          <w:color w:val="000000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aiti SC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Songti SC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00000000" w:usb1="00000000" w:usb2="00000000" w:usb3="00000000" w:csb0="000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E11A39"/>
    <w:multiLevelType w:val="multilevel"/>
    <w:tmpl w:val="53E11A39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16E"/>
    <w:rsid w:val="00026AAE"/>
    <w:rsid w:val="00037D6A"/>
    <w:rsid w:val="00063EA9"/>
    <w:rsid w:val="00067C84"/>
    <w:rsid w:val="000739B5"/>
    <w:rsid w:val="00092DA4"/>
    <w:rsid w:val="000C4A69"/>
    <w:rsid w:val="000D4D7B"/>
    <w:rsid w:val="000E380C"/>
    <w:rsid w:val="000F741B"/>
    <w:rsid w:val="000F7779"/>
    <w:rsid w:val="001031F4"/>
    <w:rsid w:val="0012616E"/>
    <w:rsid w:val="00133A4E"/>
    <w:rsid w:val="00152534"/>
    <w:rsid w:val="00161B20"/>
    <w:rsid w:val="00164185"/>
    <w:rsid w:val="001A3373"/>
    <w:rsid w:val="001A33B3"/>
    <w:rsid w:val="001A48B3"/>
    <w:rsid w:val="001B0259"/>
    <w:rsid w:val="001B7E31"/>
    <w:rsid w:val="001E00A0"/>
    <w:rsid w:val="001E4AB6"/>
    <w:rsid w:val="001F53BB"/>
    <w:rsid w:val="002137D0"/>
    <w:rsid w:val="0021553C"/>
    <w:rsid w:val="00230B73"/>
    <w:rsid w:val="0023695D"/>
    <w:rsid w:val="00252641"/>
    <w:rsid w:val="0025350E"/>
    <w:rsid w:val="00284350"/>
    <w:rsid w:val="00286864"/>
    <w:rsid w:val="00291311"/>
    <w:rsid w:val="002A065F"/>
    <w:rsid w:val="002B103E"/>
    <w:rsid w:val="002D28FC"/>
    <w:rsid w:val="00301B3D"/>
    <w:rsid w:val="0033243C"/>
    <w:rsid w:val="00344088"/>
    <w:rsid w:val="003453DF"/>
    <w:rsid w:val="003477F2"/>
    <w:rsid w:val="00350908"/>
    <w:rsid w:val="0035320B"/>
    <w:rsid w:val="00360A75"/>
    <w:rsid w:val="0037303A"/>
    <w:rsid w:val="00380424"/>
    <w:rsid w:val="00380EEE"/>
    <w:rsid w:val="003826DE"/>
    <w:rsid w:val="003827EA"/>
    <w:rsid w:val="003868BE"/>
    <w:rsid w:val="0039383F"/>
    <w:rsid w:val="003A5B46"/>
    <w:rsid w:val="003B46C3"/>
    <w:rsid w:val="003B6831"/>
    <w:rsid w:val="003B759F"/>
    <w:rsid w:val="003C1A75"/>
    <w:rsid w:val="003D1B82"/>
    <w:rsid w:val="003E1E2B"/>
    <w:rsid w:val="003F3CAD"/>
    <w:rsid w:val="003F7AD5"/>
    <w:rsid w:val="00412E0C"/>
    <w:rsid w:val="0041483C"/>
    <w:rsid w:val="004517E8"/>
    <w:rsid w:val="00473376"/>
    <w:rsid w:val="004771E2"/>
    <w:rsid w:val="00483274"/>
    <w:rsid w:val="00490FE2"/>
    <w:rsid w:val="004A0714"/>
    <w:rsid w:val="004D2304"/>
    <w:rsid w:val="004D6A01"/>
    <w:rsid w:val="004E4380"/>
    <w:rsid w:val="004E44DD"/>
    <w:rsid w:val="00502073"/>
    <w:rsid w:val="00513D62"/>
    <w:rsid w:val="00515531"/>
    <w:rsid w:val="00526614"/>
    <w:rsid w:val="005360E8"/>
    <w:rsid w:val="00536690"/>
    <w:rsid w:val="00543D8E"/>
    <w:rsid w:val="00545415"/>
    <w:rsid w:val="005513BA"/>
    <w:rsid w:val="005565E5"/>
    <w:rsid w:val="0056056E"/>
    <w:rsid w:val="005644E1"/>
    <w:rsid w:val="00567822"/>
    <w:rsid w:val="00567B32"/>
    <w:rsid w:val="00572590"/>
    <w:rsid w:val="00580198"/>
    <w:rsid w:val="00584031"/>
    <w:rsid w:val="00594FF2"/>
    <w:rsid w:val="005B2BF6"/>
    <w:rsid w:val="005C3EA1"/>
    <w:rsid w:val="005C4A37"/>
    <w:rsid w:val="005D2BB5"/>
    <w:rsid w:val="005D3D6C"/>
    <w:rsid w:val="005E436D"/>
    <w:rsid w:val="00611B14"/>
    <w:rsid w:val="00620E8E"/>
    <w:rsid w:val="00622D5D"/>
    <w:rsid w:val="00652C6E"/>
    <w:rsid w:val="006622BA"/>
    <w:rsid w:val="00665A02"/>
    <w:rsid w:val="00676511"/>
    <w:rsid w:val="006932DA"/>
    <w:rsid w:val="006A7DE6"/>
    <w:rsid w:val="006C61D2"/>
    <w:rsid w:val="006F13B1"/>
    <w:rsid w:val="00700E62"/>
    <w:rsid w:val="00707291"/>
    <w:rsid w:val="00717CC5"/>
    <w:rsid w:val="007201AC"/>
    <w:rsid w:val="00732A76"/>
    <w:rsid w:val="007472CF"/>
    <w:rsid w:val="007556FF"/>
    <w:rsid w:val="00757996"/>
    <w:rsid w:val="007841D7"/>
    <w:rsid w:val="007B11BE"/>
    <w:rsid w:val="007B27EE"/>
    <w:rsid w:val="007C16C0"/>
    <w:rsid w:val="007C2880"/>
    <w:rsid w:val="007D24D7"/>
    <w:rsid w:val="007E0629"/>
    <w:rsid w:val="008001B8"/>
    <w:rsid w:val="00801224"/>
    <w:rsid w:val="008035AF"/>
    <w:rsid w:val="00805E05"/>
    <w:rsid w:val="008123DA"/>
    <w:rsid w:val="008165DA"/>
    <w:rsid w:val="00816954"/>
    <w:rsid w:val="0083442E"/>
    <w:rsid w:val="00837429"/>
    <w:rsid w:val="00840BBD"/>
    <w:rsid w:val="00872771"/>
    <w:rsid w:val="00877B11"/>
    <w:rsid w:val="008908A1"/>
    <w:rsid w:val="00894973"/>
    <w:rsid w:val="008A180B"/>
    <w:rsid w:val="008A20FD"/>
    <w:rsid w:val="008A6D16"/>
    <w:rsid w:val="008B073F"/>
    <w:rsid w:val="008B1EE2"/>
    <w:rsid w:val="008C2DDC"/>
    <w:rsid w:val="008D1A77"/>
    <w:rsid w:val="008E5602"/>
    <w:rsid w:val="008F2E39"/>
    <w:rsid w:val="009161ED"/>
    <w:rsid w:val="0091694D"/>
    <w:rsid w:val="00917CFE"/>
    <w:rsid w:val="009420A6"/>
    <w:rsid w:val="00950095"/>
    <w:rsid w:val="00951713"/>
    <w:rsid w:val="00957911"/>
    <w:rsid w:val="00965D56"/>
    <w:rsid w:val="00967A32"/>
    <w:rsid w:val="00983331"/>
    <w:rsid w:val="009B1F74"/>
    <w:rsid w:val="009E31FB"/>
    <w:rsid w:val="009E6AEB"/>
    <w:rsid w:val="009F7CC8"/>
    <w:rsid w:val="00A0211E"/>
    <w:rsid w:val="00A079DB"/>
    <w:rsid w:val="00A12382"/>
    <w:rsid w:val="00A173AE"/>
    <w:rsid w:val="00A24DC0"/>
    <w:rsid w:val="00A379CD"/>
    <w:rsid w:val="00A402D1"/>
    <w:rsid w:val="00A511AF"/>
    <w:rsid w:val="00A54533"/>
    <w:rsid w:val="00A57416"/>
    <w:rsid w:val="00A638AE"/>
    <w:rsid w:val="00A656C2"/>
    <w:rsid w:val="00A731FB"/>
    <w:rsid w:val="00A75A7B"/>
    <w:rsid w:val="00A826B9"/>
    <w:rsid w:val="00A9133B"/>
    <w:rsid w:val="00A93BF0"/>
    <w:rsid w:val="00A9744C"/>
    <w:rsid w:val="00A97EF4"/>
    <w:rsid w:val="00AB6CB0"/>
    <w:rsid w:val="00AD2330"/>
    <w:rsid w:val="00AF7C7C"/>
    <w:rsid w:val="00B00835"/>
    <w:rsid w:val="00B10B53"/>
    <w:rsid w:val="00B12DFC"/>
    <w:rsid w:val="00B20970"/>
    <w:rsid w:val="00B33FA0"/>
    <w:rsid w:val="00B4005F"/>
    <w:rsid w:val="00B64C13"/>
    <w:rsid w:val="00B73EE3"/>
    <w:rsid w:val="00B86C11"/>
    <w:rsid w:val="00B90474"/>
    <w:rsid w:val="00B9118D"/>
    <w:rsid w:val="00BA0D97"/>
    <w:rsid w:val="00BA1D46"/>
    <w:rsid w:val="00BA2A10"/>
    <w:rsid w:val="00BA61A7"/>
    <w:rsid w:val="00BB6A12"/>
    <w:rsid w:val="00BC0071"/>
    <w:rsid w:val="00BC0DE4"/>
    <w:rsid w:val="00BE6388"/>
    <w:rsid w:val="00BF1025"/>
    <w:rsid w:val="00BF433E"/>
    <w:rsid w:val="00C02C89"/>
    <w:rsid w:val="00C129D7"/>
    <w:rsid w:val="00C1534C"/>
    <w:rsid w:val="00C247BD"/>
    <w:rsid w:val="00C46C5D"/>
    <w:rsid w:val="00C510F9"/>
    <w:rsid w:val="00C6220A"/>
    <w:rsid w:val="00C654E1"/>
    <w:rsid w:val="00C70C20"/>
    <w:rsid w:val="00C75DD8"/>
    <w:rsid w:val="00C80215"/>
    <w:rsid w:val="00C85125"/>
    <w:rsid w:val="00C9379D"/>
    <w:rsid w:val="00C95DF9"/>
    <w:rsid w:val="00CA3F22"/>
    <w:rsid w:val="00CD6982"/>
    <w:rsid w:val="00D13208"/>
    <w:rsid w:val="00D145B2"/>
    <w:rsid w:val="00D20358"/>
    <w:rsid w:val="00D25A51"/>
    <w:rsid w:val="00D3207E"/>
    <w:rsid w:val="00D5520E"/>
    <w:rsid w:val="00DB7100"/>
    <w:rsid w:val="00DD4BEC"/>
    <w:rsid w:val="00DE451C"/>
    <w:rsid w:val="00DF4A58"/>
    <w:rsid w:val="00E210F8"/>
    <w:rsid w:val="00E37E4A"/>
    <w:rsid w:val="00E4350A"/>
    <w:rsid w:val="00E52E11"/>
    <w:rsid w:val="00E55C15"/>
    <w:rsid w:val="00E56BD5"/>
    <w:rsid w:val="00E7228F"/>
    <w:rsid w:val="00E75233"/>
    <w:rsid w:val="00E76234"/>
    <w:rsid w:val="00E856B7"/>
    <w:rsid w:val="00E9134A"/>
    <w:rsid w:val="00EA1799"/>
    <w:rsid w:val="00EA4357"/>
    <w:rsid w:val="00EA7E3C"/>
    <w:rsid w:val="00EC1C9A"/>
    <w:rsid w:val="00EC4773"/>
    <w:rsid w:val="00EC4BE5"/>
    <w:rsid w:val="00EC4E93"/>
    <w:rsid w:val="00EC5B70"/>
    <w:rsid w:val="00ED04E5"/>
    <w:rsid w:val="00ED7033"/>
    <w:rsid w:val="00EE04EF"/>
    <w:rsid w:val="00EF42CF"/>
    <w:rsid w:val="00F336C1"/>
    <w:rsid w:val="00F348DC"/>
    <w:rsid w:val="00F36217"/>
    <w:rsid w:val="00F3794D"/>
    <w:rsid w:val="00F51842"/>
    <w:rsid w:val="00F611C4"/>
    <w:rsid w:val="00F62F62"/>
    <w:rsid w:val="00F635DD"/>
    <w:rsid w:val="00F8334A"/>
    <w:rsid w:val="00F8480D"/>
    <w:rsid w:val="00F9143A"/>
    <w:rsid w:val="00F92EC9"/>
    <w:rsid w:val="00F96E4F"/>
    <w:rsid w:val="00FA7804"/>
    <w:rsid w:val="00FD0A91"/>
    <w:rsid w:val="00FD0AF6"/>
    <w:rsid w:val="00FD3DED"/>
    <w:rsid w:val="00FE07BE"/>
    <w:rsid w:val="5D832B40"/>
    <w:rsid w:val="5F5A12A1"/>
    <w:rsid w:val="651301CB"/>
    <w:rsid w:val="6E0D3649"/>
    <w:rsid w:val="76133214"/>
    <w:rsid w:val="7D6DC9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6"/>
    <w:link w:val="2"/>
    <w:semiHidden/>
    <w:qFormat/>
    <w:uiPriority w:val="99"/>
    <w:rPr>
      <w:sz w:val="18"/>
      <w:szCs w:val="18"/>
    </w:rPr>
  </w:style>
  <w:style w:type="paragraph" w:styleId="12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286</Words>
  <Characters>1636</Characters>
  <Lines>13</Lines>
  <Paragraphs>3</Paragraphs>
  <TotalTime>0</TotalTime>
  <ScaleCrop>false</ScaleCrop>
  <LinksUpToDate>false</LinksUpToDate>
  <CharactersWithSpaces>1919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2024-12-17T16:19:00Z</dcterms:created>
  <dc:creator>石坤</dc:creator>
  <cp:lastModifiedBy>Daydream</cp:lastModifiedBy>
  <dcterms:modified xsi:type="dcterms:W3CDTF">2025-05-06T15:41:38Z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134FAEB68E8D0D1D32BD196824BE8993_42</vt:lpwstr>
  </property>
</Properties>
</file>