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8D94E">
      <w:pPr>
        <w:spacing w:line="360" w:lineRule="auto"/>
        <w:jc w:val="center"/>
        <w:rPr>
          <w:rFonts w:hint="eastAsia" w:ascii="Kaiti SC" w:hAnsi="Kaiti SC" w:eastAsia="Kaiti SC" w:cs="楷体"/>
          <w:b/>
          <w:bCs/>
          <w:color w:val="FF3300"/>
          <w:spacing w:val="-40"/>
          <w:sz w:val="96"/>
          <w:szCs w:val="96"/>
        </w:rPr>
      </w:pPr>
      <w:bookmarkStart w:id="0" w:name="_Hlk167879715"/>
      <w:r>
        <w:rPr>
          <w:rFonts w:ascii="Songti SC" w:hAnsi="Songti SC" w:eastAsia="Songti SC"/>
          <w:b/>
          <w:bCs/>
          <w:sz w:val="11"/>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87630</wp:posOffset>
                </wp:positionV>
                <wp:extent cx="4114800"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noFill/>
                        <a:ln w="9525">
                          <a:noFill/>
                          <a:miter lim="800000"/>
                        </a:ln>
                      </wps:spPr>
                      <wps:txbx>
                        <w:txbxContent>
                          <w:p w14:paraId="52C98FB1">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上海国家会计学院</w:t>
                            </w:r>
                          </w:p>
                          <w:p w14:paraId="199A68A6">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上海数据交易所</w:t>
                            </w:r>
                          </w:p>
                          <w:p w14:paraId="32DBEB69">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上海市数商协会</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6.9pt;height:110.6pt;width:324pt;mso-position-horizontal:center;mso-position-horizontal-relative:margin;mso-wrap-distance-bottom:3.6pt;mso-wrap-distance-left:9pt;mso-wrap-distance-right:9pt;mso-wrap-distance-top:3.6pt;z-index:251660288;mso-width-relative:page;mso-height-relative:margin;mso-height-percent:200;" filled="f" stroked="f" coordsize="21600,21600" o:gfxdata="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ch&#10;I4rUAAAABwEAAA8AAAAAAAAAAQAgAAAAIgAAAGRycy9kb3ducmV2LnhtbFBLAQIUABQAAAAIAIdO&#10;4kBUD8A1JwIAACwEAAAOAAAAAAAAAAEAIAAAACMBAABkcnMvZTJvRG9jLnhtbFBLBQYAAAAABgAG&#10;AFkBAAC8BQAAAAA=&#10;">
                <v:fill on="f" focussize="0,0"/>
                <v:stroke on="f" miterlimit="8" joinstyle="miter"/>
                <v:imagedata o:title=""/>
                <o:lock v:ext="edit" aspectratio="f"/>
                <v:textbox style="mso-fit-shape-to-text:t;">
                  <w:txbxContent>
                    <w:p w14:paraId="52C98FB1">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上海国家会计学院</w:t>
                      </w:r>
                    </w:p>
                    <w:p w14:paraId="199A68A6">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上海数据交易所</w:t>
                      </w:r>
                    </w:p>
                    <w:p w14:paraId="32DBEB69">
                      <w:pPr>
                        <w:spacing w:line="360" w:lineRule="auto"/>
                        <w:jc w:val="distribute"/>
                        <w:rPr>
                          <w:rFonts w:hint="eastAsia" w:ascii="宋体" w:hAnsi="宋体"/>
                          <w:b/>
                          <w:bCs/>
                          <w:color w:val="FF3300"/>
                          <w:spacing w:val="-40"/>
                          <w:sz w:val="72"/>
                          <w:szCs w:val="72"/>
                        </w:rPr>
                      </w:pPr>
                      <w:r>
                        <w:rPr>
                          <w:rFonts w:hint="eastAsia" w:ascii="宋体" w:hAnsi="宋体"/>
                          <w:b/>
                          <w:bCs/>
                          <w:color w:val="FF3300"/>
                          <w:spacing w:val="-40"/>
                          <w:sz w:val="72"/>
                          <w:szCs w:val="72"/>
                        </w:rPr>
                        <w:t>上海市数商协会</w:t>
                      </w:r>
                    </w:p>
                  </w:txbxContent>
                </v:textbox>
                <w10:wrap type="square"/>
              </v:shape>
            </w:pict>
          </mc:Fallback>
        </mc:AlternateContent>
      </w:r>
    </w:p>
    <w:p w14:paraId="0AF1FB0F">
      <w:pPr>
        <w:spacing w:line="360" w:lineRule="auto"/>
        <w:jc w:val="center"/>
        <w:rPr>
          <w:rFonts w:hint="eastAsia" w:ascii="宋体" w:hAnsi="宋体" w:cs="微软雅黑"/>
          <w:bCs/>
          <w:sz w:val="32"/>
          <w:szCs w:val="32"/>
        </w:rPr>
      </w:pPr>
    </w:p>
    <w:p w14:paraId="2C4A2217">
      <w:pPr>
        <w:spacing w:line="360" w:lineRule="auto"/>
        <w:jc w:val="center"/>
        <w:rPr>
          <w:rFonts w:hint="eastAsia" w:ascii="宋体" w:hAnsi="宋体" w:cs="微软雅黑"/>
          <w:bCs/>
          <w:sz w:val="32"/>
          <w:szCs w:val="32"/>
        </w:rPr>
      </w:pPr>
    </w:p>
    <w:p w14:paraId="359785C6">
      <w:pPr>
        <w:spacing w:line="360" w:lineRule="auto"/>
        <w:jc w:val="center"/>
        <w:rPr>
          <w:rFonts w:hint="eastAsia" w:ascii="宋体" w:hAnsi="宋体" w:cs="微软雅黑"/>
          <w:bCs/>
          <w:sz w:val="32"/>
          <w:szCs w:val="32"/>
        </w:rPr>
      </w:pPr>
    </w:p>
    <w:p w14:paraId="73978B5A">
      <w:pPr>
        <w:spacing w:line="360" w:lineRule="auto"/>
        <w:rPr>
          <w:rFonts w:hint="eastAsia" w:ascii="宋体" w:hAnsi="宋体" w:cs="微软雅黑"/>
          <w:bCs/>
          <w:sz w:val="32"/>
          <w:szCs w:val="32"/>
        </w:rPr>
      </w:pPr>
    </w:p>
    <w:p w14:paraId="6EDD531C">
      <w:pPr>
        <w:spacing w:line="360" w:lineRule="auto"/>
        <w:jc w:val="center"/>
        <w:rPr>
          <w:rFonts w:hint="eastAsia" w:ascii="宋体" w:hAnsi="宋体" w:cs="微软雅黑"/>
          <w:bCs/>
          <w:sz w:val="32"/>
          <w:szCs w:val="32"/>
        </w:rPr>
      </w:pPr>
      <w:r>
        <w:rPr>
          <w:rFonts w:hint="eastAsia" w:ascii="宋体" w:hAnsi="宋体" w:cs="微软雅黑"/>
          <w:bCs/>
          <w:sz w:val="32"/>
          <w:szCs w:val="32"/>
        </w:rPr>
        <w:t>上国会培〔</w:t>
      </w:r>
      <w:r>
        <w:rPr>
          <w:rFonts w:ascii="宋体" w:hAnsi="宋体" w:cs="微软雅黑"/>
          <w:bCs/>
          <w:sz w:val="32"/>
          <w:szCs w:val="32"/>
        </w:rPr>
        <w:t>202</w:t>
      </w:r>
      <w:r>
        <w:rPr>
          <w:rFonts w:hint="eastAsia" w:ascii="宋体" w:hAnsi="宋体" w:cs="微软雅黑"/>
          <w:bCs/>
          <w:sz w:val="32"/>
          <w:szCs w:val="32"/>
        </w:rPr>
        <w:t>5〕2</w:t>
      </w:r>
      <w:r>
        <w:rPr>
          <w:rFonts w:ascii="宋体" w:hAnsi="宋体" w:cs="微软雅黑"/>
          <w:bCs/>
          <w:sz w:val="32"/>
          <w:szCs w:val="32"/>
        </w:rPr>
        <w:t>2</w:t>
      </w:r>
      <w:r>
        <w:rPr>
          <w:rFonts w:hint="eastAsia" w:ascii="宋体" w:hAnsi="宋体" w:cs="微软雅黑"/>
          <w:bCs/>
          <w:sz w:val="32"/>
          <w:szCs w:val="32"/>
        </w:rPr>
        <w:t>号</w:t>
      </w:r>
    </w:p>
    <w:p w14:paraId="598BF57D">
      <w:pPr>
        <w:spacing w:line="360" w:lineRule="auto"/>
        <w:rPr>
          <w:rFonts w:hint="eastAsia" w:ascii="仿宋_GB2312" w:hAnsi="楷体" w:eastAsia="仿宋_GB2312" w:cs="楷体"/>
          <w:b/>
          <w:bCs/>
          <w:sz w:val="20"/>
          <w:szCs w:val="18"/>
        </w:rPr>
      </w:pPr>
      <w: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0" t="0" r="5715" b="5080"/>
                <wp:wrapNone/>
                <wp:docPr id="1664661529" name="直接连接符 3"/>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直接连接符 3" o:spid="_x0000_s1026" o:spt="20" style="position:absolute;left:0pt;flip:y;margin-left:-9.75pt;margin-top:22.3pt;height:1.1pt;width:430.05pt;z-index:251659264;mso-width-relative:page;mso-height-relative:page;" filled="f" stroked="t" coordsize="21600,21600" o:gfxdata="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hJQAtUAAAAJAQAADwAA&#10;AAAAAAABACAAAAAiAAAAZHJzL2Rvd25yZXYueG1sUEsBAhQAFAAAAAgAh07iQMZzSfLgAQAAkAMA&#10;AA4AAAAAAAAAAQAgAAAAJAEAAGRycy9lMm9Eb2MueG1sUEsFBgAAAAAGAAYAWQEAAHYFAAAAAA==&#10;">
                <v:fill on="f" focussize="0,0"/>
                <v:stroke weight="2pt" color="#FF0000" joinstyle="round"/>
                <v:imagedata o:title=""/>
                <o:lock v:ext="edit" aspectratio="f"/>
              </v:line>
            </w:pict>
          </mc:Fallback>
        </mc:AlternateContent>
      </w:r>
    </w:p>
    <w:p w14:paraId="07D140E9">
      <w:pPr>
        <w:spacing w:line="640" w:lineRule="exact"/>
        <w:jc w:val="center"/>
        <w:rPr>
          <w:rFonts w:hint="eastAsia" w:ascii="黑体" w:hAnsi="黑体" w:eastAsia="黑体" w:cs="Times New Roman"/>
          <w:b/>
          <w:sz w:val="36"/>
          <w:szCs w:val="36"/>
        </w:rPr>
      </w:pPr>
    </w:p>
    <w:p w14:paraId="0DE0FBD4">
      <w:pPr>
        <w:spacing w:line="640" w:lineRule="exact"/>
        <w:jc w:val="center"/>
        <w:rPr>
          <w:rFonts w:hint="eastAsia" w:ascii="黑体" w:hAnsi="黑体" w:eastAsia="黑体" w:cs="Times New Roman"/>
          <w:b/>
          <w:sz w:val="36"/>
          <w:szCs w:val="36"/>
        </w:rPr>
      </w:pPr>
      <w:r>
        <w:rPr>
          <w:rFonts w:hint="eastAsia" w:ascii="黑体" w:hAnsi="黑体" w:eastAsia="黑体" w:cs="Times New Roman"/>
          <w:b/>
          <w:sz w:val="36"/>
          <w:szCs w:val="36"/>
        </w:rPr>
        <w:t>关于举办</w:t>
      </w:r>
    </w:p>
    <w:p w14:paraId="0B29B222">
      <w:pPr>
        <w:spacing w:line="640" w:lineRule="exact"/>
        <w:jc w:val="center"/>
        <w:rPr>
          <w:rFonts w:hint="eastAsia" w:ascii="黑体" w:hAnsi="黑体" w:eastAsia="黑体" w:cs="Times New Roman"/>
          <w:b/>
          <w:sz w:val="36"/>
          <w:szCs w:val="36"/>
        </w:rPr>
      </w:pPr>
      <w:bookmarkStart w:id="1" w:name="_Hlk145603509"/>
      <w:r>
        <w:rPr>
          <w:rFonts w:hint="eastAsia" w:ascii="黑体" w:hAnsi="黑体" w:eastAsia="黑体" w:cs="Times New Roman"/>
          <w:b/>
          <w:sz w:val="36"/>
          <w:szCs w:val="36"/>
        </w:rPr>
        <w:t xml:space="preserve"> “数据资产”研修班</w:t>
      </w:r>
      <w:bookmarkEnd w:id="1"/>
      <w:r>
        <w:rPr>
          <w:rFonts w:hint="eastAsia" w:ascii="黑体" w:hAnsi="黑体" w:eastAsia="黑体" w:cs="Times New Roman"/>
          <w:b/>
          <w:sz w:val="36"/>
          <w:szCs w:val="36"/>
        </w:rPr>
        <w:t>的通知</w:t>
      </w:r>
    </w:p>
    <w:p w14:paraId="6DE12B79">
      <w:pPr>
        <w:spacing w:line="640" w:lineRule="exact"/>
        <w:jc w:val="center"/>
        <w:rPr>
          <w:rFonts w:hint="eastAsia" w:ascii="黑体" w:hAnsi="黑体" w:eastAsia="黑体" w:cs="Times New Roman"/>
          <w:b/>
          <w:sz w:val="36"/>
          <w:szCs w:val="36"/>
        </w:rPr>
      </w:pPr>
    </w:p>
    <w:p w14:paraId="7241D146">
      <w:pPr>
        <w:pStyle w:val="18"/>
        <w:rPr>
          <w:rFonts w:hint="eastAsia" w:ascii="仿宋_GB2312" w:hAnsi="仿宋" w:eastAsia="仿宋_GB2312"/>
          <w:sz w:val="32"/>
          <w:szCs w:val="32"/>
        </w:rPr>
      </w:pPr>
      <w:r>
        <w:rPr>
          <w:rFonts w:hint="eastAsia" w:ascii="仿宋_GB2312" w:hAnsi="仿宋" w:eastAsia="仿宋_GB2312"/>
          <w:sz w:val="32"/>
          <w:szCs w:val="32"/>
        </w:rPr>
        <w:t>各相关单位：</w:t>
      </w:r>
    </w:p>
    <w:p w14:paraId="62066DDA">
      <w:pPr>
        <w:pStyle w:val="18"/>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020</w:t>
      </w:r>
      <w:r>
        <w:rPr>
          <w:rFonts w:hint="eastAsia" w:ascii="仿宋_GB2312" w:hAnsi="仿宋" w:eastAsia="仿宋_GB2312"/>
          <w:sz w:val="32"/>
          <w:szCs w:val="32"/>
        </w:rPr>
        <w:t>年，中共中央、国务院印发了《关于构建更加完善的要素市场化配置体制机制的意见》，首次将“数据”与土地、劳动力、资本、技术等并列为要素之一，强调要加快培育数据要素市场。2</w:t>
      </w:r>
      <w:r>
        <w:rPr>
          <w:rFonts w:ascii="仿宋_GB2312" w:hAnsi="仿宋" w:eastAsia="仿宋_GB2312"/>
          <w:sz w:val="32"/>
          <w:szCs w:val="32"/>
        </w:rPr>
        <w:t>022</w:t>
      </w:r>
      <w:r>
        <w:rPr>
          <w:rFonts w:hint="eastAsia" w:ascii="仿宋_GB2312" w:hAnsi="仿宋" w:eastAsia="仿宋_GB2312"/>
          <w:sz w:val="32"/>
          <w:szCs w:val="32"/>
        </w:rPr>
        <w:t>年，着眼于数据产权、流通交易、收益分配、安全治理等方面，中共中央国务院发布了“数据二十条”。2023年3月，国家数据局正式组建。2023年8月，财政部印发《企业数据资源相关会计处理暂行规定》。</w:t>
      </w:r>
      <w:r>
        <w:rPr>
          <w:rFonts w:ascii="仿宋_GB2312" w:hAnsi="仿宋" w:eastAsia="仿宋_GB2312"/>
          <w:sz w:val="32"/>
          <w:szCs w:val="32"/>
        </w:rPr>
        <w:t>2024年1月4日，国家数据局会同有关部门正式发布《“数据要素×”三年行动计划（2024—2026年）》</w:t>
      </w:r>
      <w:r>
        <w:rPr>
          <w:rFonts w:hint="eastAsia" w:ascii="仿宋_GB2312" w:hAnsi="仿宋" w:eastAsia="仿宋_GB2312"/>
          <w:sz w:val="32"/>
          <w:szCs w:val="32"/>
        </w:rPr>
        <w:t>。数据资产化的宏伟蓝图已经徐徐展开。</w:t>
      </w:r>
    </w:p>
    <w:p w14:paraId="0CB24B74">
      <w:pPr>
        <w:pStyle w:val="18"/>
        <w:ind w:firstLine="640" w:firstLineChars="200"/>
        <w:rPr>
          <w:rFonts w:ascii="仿宋_GB2312" w:hAnsi="仿宋" w:eastAsia="仿宋_GB2312"/>
          <w:sz w:val="32"/>
          <w:szCs w:val="32"/>
        </w:rPr>
      </w:pPr>
      <w:r>
        <w:rPr>
          <w:rFonts w:hint="eastAsia" w:ascii="仿宋_GB2312" w:hAnsi="仿宋" w:eastAsia="仿宋_GB2312"/>
          <w:sz w:val="32"/>
          <w:szCs w:val="32"/>
        </w:rPr>
        <w:t>在数字化时代，数据已成为企业最宝贵的资产之一，蕴含着巨大的经济价值和战略意义。随着大数据和人工智能技术的发展，数据资源的价值正在被不断放大，成为推动企业增长和社会发展的重要动力。通过深入分析和挖掘数据的价值，企业能够洞察市场趋势，优化决策过程，提升运营效率，并创造新的商业机会。</w:t>
      </w:r>
    </w:p>
    <w:p w14:paraId="6BF389D3">
      <w:pPr>
        <w:pStyle w:val="18"/>
        <w:ind w:firstLine="640" w:firstLineChars="200"/>
        <w:rPr>
          <w:rFonts w:hint="eastAsia" w:ascii="仿宋_GB2312" w:hAnsi="仿宋" w:eastAsia="仿宋_GB2312"/>
          <w:sz w:val="32"/>
          <w:szCs w:val="32"/>
        </w:rPr>
      </w:pPr>
      <w:r>
        <w:rPr>
          <w:rFonts w:hint="eastAsia" w:ascii="仿宋_GB2312" w:hAnsi="仿宋" w:eastAsia="仿宋_GB2312"/>
          <w:sz w:val="32"/>
          <w:szCs w:val="32"/>
        </w:rPr>
        <w:t>有鉴于此，上海国家会计学院携手上海数据交易所、上海市数商协会联合设计开发“数据资产”研修班，课程汇集相关领域的知名教授、资深实务专家，立足于我国数据资产相关政策文件精神，以数据价值发现为主线，系统讲解数据资产建设路径，全面剖析典型案例，</w:t>
      </w:r>
      <w:r>
        <w:rPr>
          <w:rFonts w:hint="eastAsia" w:ascii="仿宋_GB2312" w:hAnsi="仿宋" w:eastAsia="仿宋_GB2312"/>
          <w:sz w:val="32"/>
          <w:szCs w:val="32"/>
          <w:lang w:val="en-US" w:eastAsia="zh-CN"/>
        </w:rPr>
        <w:t>帮助企业解决落地痛点，持续服务</w:t>
      </w:r>
      <w:r>
        <w:rPr>
          <w:rFonts w:hint="eastAsia" w:ascii="仿宋_GB2312" w:hAnsi="仿宋" w:eastAsia="仿宋_GB2312"/>
          <w:sz w:val="32"/>
          <w:szCs w:val="32"/>
        </w:rPr>
        <w:t>企业数字化战略转型。</w:t>
      </w:r>
    </w:p>
    <w:p w14:paraId="29802D44">
      <w:pPr>
        <w:pStyle w:val="18"/>
        <w:ind w:firstLine="640" w:firstLineChars="200"/>
        <w:rPr>
          <w:rFonts w:hint="eastAsia" w:ascii="仿宋_GB2312" w:hAnsi="仿宋" w:eastAsia="仿宋_GB2312"/>
          <w:sz w:val="32"/>
          <w:szCs w:val="32"/>
        </w:rPr>
      </w:pPr>
      <w:r>
        <w:rPr>
          <w:rFonts w:hint="eastAsia" w:ascii="仿宋_GB2312" w:hAnsi="仿宋" w:eastAsia="仿宋_GB2312"/>
          <w:sz w:val="32"/>
          <w:szCs w:val="32"/>
        </w:rPr>
        <w:t>附件：一、课程简介</w:t>
      </w:r>
    </w:p>
    <w:p w14:paraId="394E1351">
      <w:pPr>
        <w:pStyle w:val="18"/>
        <w:rPr>
          <w:rFonts w:hint="eastAsia"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二、报名表</w:t>
      </w:r>
    </w:p>
    <w:p w14:paraId="3AB8EA45">
      <w:pPr>
        <w:pStyle w:val="18"/>
        <w:rPr>
          <w:rFonts w:hint="eastAsia" w:ascii="仿宋_GB2312" w:hAnsi="仿宋" w:eastAsia="仿宋_GB2312"/>
          <w:sz w:val="32"/>
          <w:szCs w:val="32"/>
        </w:rPr>
      </w:pPr>
    </w:p>
    <w:p w14:paraId="262690B3">
      <w:pPr>
        <w:spacing w:line="360" w:lineRule="auto"/>
        <w:rPr>
          <w:rFonts w:hint="eastAsia" w:ascii="仿宋_GB2312" w:hAnsi="仿宋" w:eastAsia="仿宋_GB2312"/>
          <w:sz w:val="32"/>
          <w:szCs w:val="32"/>
        </w:rPr>
      </w:pPr>
      <w:r>
        <w:rPr>
          <w:rFonts w:hint="eastAsia" w:ascii="仿宋_GB2312" w:hAnsi="仿宋" w:eastAsia="仿宋_GB2312"/>
          <w:sz w:val="32"/>
          <w:szCs w:val="32"/>
        </w:rPr>
        <w:t>上海国家会计学院</w:t>
      </w:r>
    </w:p>
    <w:p w14:paraId="4CE973C3">
      <w:pPr>
        <w:spacing w:line="360" w:lineRule="auto"/>
        <w:rPr>
          <w:rFonts w:hint="eastAsia" w:ascii="仿宋_GB2312" w:hAnsi="仿宋" w:eastAsia="仿宋_GB2312"/>
          <w:sz w:val="32"/>
          <w:szCs w:val="32"/>
        </w:rPr>
      </w:pPr>
      <w:r>
        <w:rPr>
          <w:rFonts w:hint="eastAsia" w:ascii="仿宋_GB2312" w:hAnsi="仿宋" w:eastAsia="仿宋_GB2312"/>
          <w:sz w:val="32"/>
          <w:szCs w:val="32"/>
        </w:rPr>
        <w:t>上海数据交易所</w:t>
      </w:r>
    </w:p>
    <w:p w14:paraId="3089DE86">
      <w:pPr>
        <w:spacing w:line="360" w:lineRule="auto"/>
        <w:rPr>
          <w:rFonts w:hint="eastAsia" w:ascii="仿宋_GB2312" w:hAnsi="仿宋" w:eastAsia="仿宋_GB2312"/>
          <w:sz w:val="32"/>
          <w:szCs w:val="32"/>
        </w:rPr>
      </w:pPr>
      <w:r>
        <w:rPr>
          <w:rFonts w:hint="eastAsia" w:ascii="仿宋_GB2312" w:hAnsi="仿宋" w:eastAsia="仿宋_GB2312"/>
          <w:sz w:val="32"/>
          <w:szCs w:val="32"/>
        </w:rPr>
        <w:t>上海市数商协会</w:t>
      </w:r>
    </w:p>
    <w:p w14:paraId="17D0956D">
      <w:pPr>
        <w:spacing w:line="360" w:lineRule="auto"/>
        <w:rPr>
          <w:rFonts w:hint="eastAsia" w:ascii="仿宋_GB2312" w:hAnsi="仿宋" w:eastAsia="仿宋_GB2312"/>
          <w:sz w:val="32"/>
          <w:szCs w:val="32"/>
        </w:rPr>
      </w:pPr>
    </w:p>
    <w:p w14:paraId="1B1154C0">
      <w:pPr>
        <w:spacing w:line="360" w:lineRule="auto"/>
        <w:ind w:firstLine="6400" w:firstLineChars="2000"/>
        <w:rPr>
          <w:rFonts w:hint="eastAsia" w:ascii="仿宋_GB2312" w:hAnsi="仿宋" w:eastAsia="仿宋_GB2312"/>
          <w:sz w:val="32"/>
          <w:szCs w:val="32"/>
        </w:rPr>
      </w:pPr>
      <w:r>
        <w:rPr>
          <w:rFonts w:hint="eastAsia" w:ascii="仿宋_GB2312" w:hAnsi="仿宋" w:eastAsia="仿宋_GB2312"/>
          <w:sz w:val="32"/>
          <w:szCs w:val="32"/>
        </w:rPr>
        <w:t>2025年12月</w:t>
      </w:r>
    </w:p>
    <w:p w14:paraId="50A3AA87">
      <w:pPr>
        <w:spacing w:line="360" w:lineRule="auto"/>
        <w:ind w:firstLine="5760" w:firstLineChars="1800"/>
        <w:rPr>
          <w:rFonts w:hint="eastAsia" w:ascii="仿宋_GB2312" w:hAnsi="仿宋" w:eastAsia="仿宋_GB2312"/>
          <w:sz w:val="32"/>
          <w:szCs w:val="32"/>
        </w:rPr>
      </w:pPr>
    </w:p>
    <w:p w14:paraId="277DDBC3">
      <w:pPr>
        <w:spacing w:line="360" w:lineRule="auto"/>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附件一：课程简介</w:t>
      </w:r>
    </w:p>
    <w:p w14:paraId="22648FEC">
      <w:pPr>
        <w:pStyle w:val="19"/>
        <w:numPr>
          <w:ilvl w:val="0"/>
          <w:numId w:val="1"/>
        </w:numPr>
        <w:spacing w:line="360" w:lineRule="auto"/>
        <w:ind w:firstLineChars="0"/>
        <w:rPr>
          <w:rFonts w:hint="eastAsia" w:ascii="仿宋_GB2312" w:eastAsia="仿宋_GB2312" w:hAnsiTheme="minorEastAsia"/>
          <w:b/>
          <w:color w:val="000000"/>
          <w:sz w:val="32"/>
          <w:szCs w:val="32"/>
        </w:rPr>
      </w:pPr>
      <w:r>
        <w:rPr>
          <w:rFonts w:hint="eastAsia" w:ascii="仿宋_GB2312" w:eastAsia="仿宋_GB2312" w:hAnsiTheme="minorEastAsia"/>
          <w:b/>
          <w:color w:val="000000"/>
          <w:sz w:val="32"/>
          <w:szCs w:val="32"/>
        </w:rPr>
        <w:t>培训安排</w:t>
      </w:r>
    </w:p>
    <w:tbl>
      <w:tblPr>
        <w:tblStyle w:val="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559"/>
        <w:gridCol w:w="2835"/>
      </w:tblGrid>
      <w:tr w14:paraId="26D97A6A">
        <w:trPr>
          <w:trHeight w:val="644" w:hRule="atLeast"/>
          <w:jc w:val="center"/>
        </w:trPr>
        <w:tc>
          <w:tcPr>
            <w:tcW w:w="4536" w:type="dxa"/>
          </w:tcPr>
          <w:p w14:paraId="11D6EC68">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培训时间</w:t>
            </w:r>
          </w:p>
        </w:tc>
        <w:tc>
          <w:tcPr>
            <w:tcW w:w="1559" w:type="dxa"/>
          </w:tcPr>
          <w:p w14:paraId="7D3813F1">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报到时间</w:t>
            </w:r>
          </w:p>
        </w:tc>
        <w:tc>
          <w:tcPr>
            <w:tcW w:w="2835" w:type="dxa"/>
          </w:tcPr>
          <w:p w14:paraId="6B61ED4C">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培训地点</w:t>
            </w:r>
          </w:p>
        </w:tc>
      </w:tr>
      <w:tr w14:paraId="2D27CAEA">
        <w:trPr>
          <w:trHeight w:val="640" w:hRule="atLeast"/>
          <w:jc w:val="center"/>
        </w:trPr>
        <w:tc>
          <w:tcPr>
            <w:tcW w:w="4536" w:type="dxa"/>
            <w:tcBorders>
              <w:top w:val="single" w:color="auto" w:sz="4" w:space="0"/>
              <w:left w:val="single" w:color="auto" w:sz="4" w:space="0"/>
              <w:bottom w:val="single" w:color="auto" w:sz="4" w:space="0"/>
              <w:right w:val="single" w:color="auto" w:sz="4" w:space="0"/>
            </w:tcBorders>
          </w:tcPr>
          <w:p w14:paraId="15A8B0A8">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4月10</w:t>
            </w:r>
            <w:r>
              <w:rPr>
                <w:rFonts w:ascii="仿宋_GB2312" w:hAnsi="宋体" w:eastAsia="仿宋_GB2312"/>
                <w:sz w:val="32"/>
                <w:szCs w:val="32"/>
              </w:rPr>
              <w:t>-</w:t>
            </w:r>
            <w:r>
              <w:rPr>
                <w:rFonts w:hint="eastAsia" w:ascii="仿宋_GB2312" w:hAnsi="宋体" w:eastAsia="仿宋_GB2312"/>
                <w:sz w:val="32"/>
                <w:szCs w:val="32"/>
              </w:rPr>
              <w:t>12日</w:t>
            </w:r>
          </w:p>
        </w:tc>
        <w:tc>
          <w:tcPr>
            <w:tcW w:w="1559" w:type="dxa"/>
            <w:tcBorders>
              <w:top w:val="single" w:color="auto" w:sz="4" w:space="0"/>
              <w:left w:val="single" w:color="auto" w:sz="4" w:space="0"/>
              <w:bottom w:val="single" w:color="auto" w:sz="4" w:space="0"/>
              <w:right w:val="single" w:color="auto" w:sz="4" w:space="0"/>
            </w:tcBorders>
          </w:tcPr>
          <w:p w14:paraId="038DCF2A">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09日</w:t>
            </w:r>
          </w:p>
        </w:tc>
        <w:tc>
          <w:tcPr>
            <w:tcW w:w="2835" w:type="dxa"/>
            <w:tcBorders>
              <w:top w:val="single" w:color="auto" w:sz="4" w:space="0"/>
              <w:left w:val="single" w:color="auto" w:sz="4" w:space="0"/>
              <w:bottom w:val="single" w:color="auto" w:sz="4" w:space="0"/>
              <w:right w:val="single" w:color="auto" w:sz="4" w:space="0"/>
            </w:tcBorders>
          </w:tcPr>
          <w:p w14:paraId="72511F39">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上海国家会计学院</w:t>
            </w:r>
          </w:p>
        </w:tc>
      </w:tr>
      <w:tr w14:paraId="4CAF6C9D">
        <w:trPr>
          <w:trHeight w:val="640" w:hRule="atLeast"/>
          <w:jc w:val="center"/>
        </w:trPr>
        <w:tc>
          <w:tcPr>
            <w:tcW w:w="4536" w:type="dxa"/>
            <w:tcBorders>
              <w:top w:val="single" w:color="auto" w:sz="4" w:space="0"/>
              <w:left w:val="single" w:color="auto" w:sz="4" w:space="0"/>
              <w:bottom w:val="single" w:color="auto" w:sz="4" w:space="0"/>
              <w:right w:val="single" w:color="auto" w:sz="4" w:space="0"/>
            </w:tcBorders>
          </w:tcPr>
          <w:p w14:paraId="6B78D4A7">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6月19-21日</w:t>
            </w:r>
          </w:p>
        </w:tc>
        <w:tc>
          <w:tcPr>
            <w:tcW w:w="1559" w:type="dxa"/>
            <w:tcBorders>
              <w:top w:val="single" w:color="auto" w:sz="4" w:space="0"/>
              <w:left w:val="single" w:color="auto" w:sz="4" w:space="0"/>
              <w:bottom w:val="single" w:color="auto" w:sz="4" w:space="0"/>
              <w:right w:val="single" w:color="auto" w:sz="4" w:space="0"/>
            </w:tcBorders>
          </w:tcPr>
          <w:p w14:paraId="15830B06">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18日</w:t>
            </w:r>
          </w:p>
        </w:tc>
        <w:tc>
          <w:tcPr>
            <w:tcW w:w="2835" w:type="dxa"/>
            <w:tcBorders>
              <w:top w:val="single" w:color="auto" w:sz="4" w:space="0"/>
              <w:left w:val="single" w:color="auto" w:sz="4" w:space="0"/>
              <w:bottom w:val="single" w:color="auto" w:sz="4" w:space="0"/>
              <w:right w:val="single" w:color="auto" w:sz="4" w:space="0"/>
            </w:tcBorders>
          </w:tcPr>
          <w:p w14:paraId="5F4A9E80">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上海国家会计学院</w:t>
            </w:r>
          </w:p>
        </w:tc>
      </w:tr>
      <w:tr w14:paraId="44BA22D8">
        <w:trPr>
          <w:trHeight w:val="640" w:hRule="atLeast"/>
          <w:jc w:val="center"/>
        </w:trPr>
        <w:tc>
          <w:tcPr>
            <w:tcW w:w="4536" w:type="dxa"/>
            <w:tcBorders>
              <w:top w:val="single" w:color="auto" w:sz="4" w:space="0"/>
              <w:left w:val="single" w:color="auto" w:sz="4" w:space="0"/>
              <w:bottom w:val="single" w:color="auto" w:sz="4" w:space="0"/>
              <w:right w:val="single" w:color="auto" w:sz="4" w:space="0"/>
            </w:tcBorders>
          </w:tcPr>
          <w:p w14:paraId="5AF52465">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8月14</w:t>
            </w:r>
            <w:r>
              <w:rPr>
                <w:rFonts w:ascii="仿宋_GB2312" w:hAnsi="宋体" w:eastAsia="仿宋_GB2312"/>
                <w:sz w:val="32"/>
                <w:szCs w:val="32"/>
              </w:rPr>
              <w:t>-</w:t>
            </w:r>
            <w:r>
              <w:rPr>
                <w:rFonts w:hint="eastAsia" w:ascii="仿宋_GB2312" w:hAnsi="宋体" w:eastAsia="仿宋_GB2312"/>
                <w:sz w:val="32"/>
                <w:szCs w:val="32"/>
              </w:rPr>
              <w:t>16日</w:t>
            </w:r>
          </w:p>
        </w:tc>
        <w:tc>
          <w:tcPr>
            <w:tcW w:w="1559" w:type="dxa"/>
            <w:tcBorders>
              <w:top w:val="single" w:color="auto" w:sz="4" w:space="0"/>
              <w:left w:val="single" w:color="auto" w:sz="4" w:space="0"/>
              <w:bottom w:val="single" w:color="auto" w:sz="4" w:space="0"/>
              <w:right w:val="single" w:color="auto" w:sz="4" w:space="0"/>
            </w:tcBorders>
          </w:tcPr>
          <w:p w14:paraId="098213D5">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13日</w:t>
            </w:r>
          </w:p>
        </w:tc>
        <w:tc>
          <w:tcPr>
            <w:tcW w:w="2835" w:type="dxa"/>
            <w:tcBorders>
              <w:top w:val="single" w:color="auto" w:sz="4" w:space="0"/>
              <w:left w:val="single" w:color="auto" w:sz="4" w:space="0"/>
              <w:bottom w:val="single" w:color="auto" w:sz="4" w:space="0"/>
              <w:right w:val="single" w:color="auto" w:sz="4" w:space="0"/>
            </w:tcBorders>
          </w:tcPr>
          <w:p w14:paraId="5E3F7D63">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上海国家会计学院</w:t>
            </w:r>
          </w:p>
        </w:tc>
      </w:tr>
      <w:tr w14:paraId="20A8EC68">
        <w:trPr>
          <w:trHeight w:val="640" w:hRule="atLeast"/>
          <w:jc w:val="center"/>
        </w:trPr>
        <w:tc>
          <w:tcPr>
            <w:tcW w:w="4536" w:type="dxa"/>
            <w:tcBorders>
              <w:top w:val="single" w:color="auto" w:sz="4" w:space="0"/>
              <w:left w:val="single" w:color="auto" w:sz="4" w:space="0"/>
              <w:bottom w:val="single" w:color="auto" w:sz="4" w:space="0"/>
              <w:right w:val="single" w:color="auto" w:sz="4" w:space="0"/>
            </w:tcBorders>
          </w:tcPr>
          <w:p w14:paraId="652E2C79">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10月16-18日</w:t>
            </w:r>
          </w:p>
        </w:tc>
        <w:tc>
          <w:tcPr>
            <w:tcW w:w="1559" w:type="dxa"/>
            <w:tcBorders>
              <w:top w:val="single" w:color="auto" w:sz="4" w:space="0"/>
              <w:left w:val="single" w:color="auto" w:sz="4" w:space="0"/>
              <w:bottom w:val="single" w:color="auto" w:sz="4" w:space="0"/>
              <w:right w:val="single" w:color="auto" w:sz="4" w:space="0"/>
            </w:tcBorders>
          </w:tcPr>
          <w:p w14:paraId="376CF8EC">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15日</w:t>
            </w:r>
          </w:p>
        </w:tc>
        <w:tc>
          <w:tcPr>
            <w:tcW w:w="2835" w:type="dxa"/>
            <w:tcBorders>
              <w:top w:val="single" w:color="auto" w:sz="4" w:space="0"/>
              <w:left w:val="single" w:color="auto" w:sz="4" w:space="0"/>
              <w:bottom w:val="single" w:color="auto" w:sz="4" w:space="0"/>
              <w:right w:val="single" w:color="auto" w:sz="4" w:space="0"/>
            </w:tcBorders>
          </w:tcPr>
          <w:p w14:paraId="6A963CD7">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上海国家会计学院</w:t>
            </w:r>
          </w:p>
        </w:tc>
      </w:tr>
    </w:tbl>
    <w:p w14:paraId="49FC2DB7">
      <w:pPr>
        <w:spacing w:line="360" w:lineRule="auto"/>
        <w:rPr>
          <w:rFonts w:hint="eastAsia" w:ascii="仿宋_GB2312" w:hAnsi="宋体" w:eastAsia="仿宋_GB2312"/>
          <w:b/>
          <w:bCs/>
          <w:sz w:val="32"/>
          <w:szCs w:val="32"/>
        </w:rPr>
      </w:pPr>
    </w:p>
    <w:p w14:paraId="5F26E187">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二、课程目标</w:t>
      </w:r>
    </w:p>
    <w:p w14:paraId="2A863D7A">
      <w:pPr>
        <w:spacing w:line="360" w:lineRule="auto"/>
        <w:rPr>
          <w:rFonts w:hint="eastAsia" w:ascii="仿宋_GB2312" w:hAnsi="宋体" w:eastAsia="仿宋_GB2312"/>
          <w:sz w:val="32"/>
          <w:szCs w:val="32"/>
        </w:rPr>
      </w:pPr>
      <w:r>
        <w:rPr>
          <w:rFonts w:hint="eastAsia" w:ascii="仿宋_GB2312" w:hAnsi="宋体" w:eastAsia="仿宋_GB2312"/>
          <w:sz w:val="32"/>
          <w:szCs w:val="32"/>
        </w:rPr>
        <w:t>（一）深刻理解数据的价值及数据资产化的意义及趋势</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w:t>
      </w:r>
      <w:r>
        <w:rPr>
          <w:rFonts w:hint="eastAsia" w:ascii="仿宋_GB2312" w:hAnsi="宋体" w:eastAsia="仿宋_GB2312"/>
          <w:sz w:val="32"/>
          <w:szCs w:val="32"/>
        </w:rPr>
        <w:t>准确把握数据资产化的相关政策；</w:t>
      </w:r>
    </w:p>
    <w:p w14:paraId="7AF14ADB">
      <w:pPr>
        <w:spacing w:line="360" w:lineRule="auto"/>
        <w:rPr>
          <w:rFonts w:hint="eastAsia" w:ascii="仿宋_GB2312" w:hAnsi="宋体" w:eastAsia="仿宋_GB2312"/>
          <w:sz w:val="32"/>
          <w:szCs w:val="32"/>
        </w:rPr>
      </w:pPr>
      <w:r>
        <w:rPr>
          <w:rFonts w:hint="eastAsia" w:ascii="仿宋_GB2312" w:hAnsi="宋体" w:eastAsia="仿宋_GB2312"/>
          <w:sz w:val="32"/>
          <w:szCs w:val="32"/>
        </w:rPr>
        <w:t>（三）系统学习数据资产化的路径：确权、估值、交易、财务核算与税务处理；</w:t>
      </w:r>
    </w:p>
    <w:p w14:paraId="15D1B616">
      <w:pPr>
        <w:spacing w:line="360" w:lineRule="auto"/>
        <w:rPr>
          <w:rFonts w:hint="eastAsia" w:ascii="仿宋_GB2312" w:hAnsi="宋体" w:eastAsia="仿宋_GB2312"/>
          <w:sz w:val="32"/>
          <w:szCs w:val="32"/>
          <w:lang w:eastAsia="zh-CN"/>
        </w:rPr>
      </w:pPr>
      <w:r>
        <w:rPr>
          <w:rFonts w:hint="eastAsia" w:ascii="仿宋_GB2312" w:hAnsi="宋体" w:eastAsia="仿宋_GB2312"/>
          <w:sz w:val="32"/>
          <w:szCs w:val="32"/>
        </w:rPr>
        <w:t>（四）剖析典型案例，汲取成功经验</w:t>
      </w:r>
      <w:r>
        <w:rPr>
          <w:rFonts w:hint="eastAsia" w:ascii="仿宋_GB2312" w:hAnsi="宋体" w:eastAsia="仿宋_GB2312"/>
          <w:sz w:val="32"/>
          <w:szCs w:val="32"/>
          <w:lang w:eastAsia="zh-CN"/>
        </w:rPr>
        <w:t>；</w:t>
      </w:r>
    </w:p>
    <w:p w14:paraId="672B59EF">
      <w:pPr>
        <w:spacing w:line="360" w:lineRule="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五）与专家深入交流，帮助解决数据资产建设的落地痛点问题等。</w:t>
      </w:r>
    </w:p>
    <w:p w14:paraId="29432DA7">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三、培训对象</w:t>
      </w:r>
    </w:p>
    <w:p w14:paraId="113B3A56">
      <w:pPr>
        <w:spacing w:line="360" w:lineRule="auto"/>
        <w:rPr>
          <w:rFonts w:hint="eastAsia" w:ascii="仿宋_GB2312" w:hAnsi="宋体" w:eastAsia="仿宋_GB2312"/>
          <w:sz w:val="32"/>
          <w:szCs w:val="32"/>
        </w:rPr>
      </w:pPr>
      <w:r>
        <w:rPr>
          <w:rFonts w:hint="eastAsia" w:ascii="仿宋_GB2312" w:hAnsi="宋体" w:eastAsia="仿宋_GB2312"/>
          <w:sz w:val="32"/>
          <w:szCs w:val="32"/>
        </w:rPr>
        <w:t>数据资产化意愿强的大中型企业，以及数据要素型企业的财务、信息等相关岗位的中高级管理人员。</w:t>
      </w:r>
    </w:p>
    <w:p w14:paraId="2839A07A">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四、课程内容</w:t>
      </w:r>
    </w:p>
    <w:p w14:paraId="45CE3ABE">
      <w:pPr>
        <w:spacing w:line="360" w:lineRule="auto"/>
        <w:rPr>
          <w:rFonts w:hint="eastAsia" w:ascii="仿宋_GB2312" w:hAnsi="宋体" w:eastAsia="仿宋_GB2312"/>
          <w:b/>
          <w:sz w:val="32"/>
          <w:szCs w:val="32"/>
        </w:rPr>
      </w:pPr>
      <w:bookmarkStart w:id="2" w:name="_Hlk144988077"/>
      <w:r>
        <w:rPr>
          <w:rFonts w:hint="eastAsia" w:ascii="仿宋_GB2312" w:hAnsi="宋体" w:eastAsia="仿宋_GB2312"/>
          <w:b/>
          <w:sz w:val="32"/>
          <w:szCs w:val="32"/>
        </w:rPr>
        <w:t>模块一、数据价值发现与企业数据资产化</w:t>
      </w:r>
    </w:p>
    <w:p w14:paraId="13B05D5F">
      <w:pPr>
        <w:spacing w:line="360" w:lineRule="auto"/>
        <w:rPr>
          <w:rFonts w:hint="eastAsia" w:ascii="仿宋_GB2312" w:hAnsi="宋体" w:eastAsia="仿宋_GB2312"/>
          <w:bCs/>
          <w:sz w:val="32"/>
          <w:szCs w:val="32"/>
        </w:rPr>
      </w:pPr>
      <w:r>
        <w:rPr>
          <w:rFonts w:hint="eastAsia" w:ascii="仿宋_GB2312" w:hAnsi="宋体" w:eastAsia="仿宋_GB2312"/>
          <w:bCs/>
          <w:sz w:val="32"/>
          <w:szCs w:val="32"/>
        </w:rPr>
        <w:t>（一）数据资产化展望</w:t>
      </w:r>
    </w:p>
    <w:p w14:paraId="6FFAD0E3">
      <w:pPr>
        <w:spacing w:line="360" w:lineRule="auto"/>
        <w:rPr>
          <w:rFonts w:hint="eastAsia" w:ascii="仿宋_GB2312" w:hAnsi="宋体" w:eastAsia="仿宋_GB2312"/>
          <w:sz w:val="32"/>
          <w:szCs w:val="32"/>
        </w:rPr>
      </w:pPr>
      <w:r>
        <w:rPr>
          <w:rFonts w:hint="eastAsia" w:ascii="仿宋_GB2312" w:hAnsi="宋体" w:eastAsia="仿宋_GB2312"/>
          <w:sz w:val="32"/>
          <w:szCs w:val="32"/>
        </w:rPr>
        <w:t>（二）数据资产相关政策解读</w:t>
      </w:r>
    </w:p>
    <w:p w14:paraId="042C8A55">
      <w:pPr>
        <w:spacing w:line="360" w:lineRule="auto"/>
        <w:rPr>
          <w:rFonts w:hint="eastAsia" w:ascii="仿宋_GB2312" w:hAnsi="宋体" w:eastAsia="仿宋_GB2312"/>
          <w:sz w:val="32"/>
          <w:szCs w:val="32"/>
        </w:rPr>
      </w:pPr>
      <w:r>
        <w:rPr>
          <w:rFonts w:hint="eastAsia" w:ascii="仿宋_GB2312" w:hAnsi="宋体" w:eastAsia="仿宋_GB2312"/>
          <w:sz w:val="32"/>
          <w:szCs w:val="32"/>
        </w:rPr>
        <w:t>（三）数据资产化路径</w:t>
      </w:r>
    </w:p>
    <w:p w14:paraId="3BC387B7">
      <w:pPr>
        <w:spacing w:line="360" w:lineRule="auto"/>
        <w:rPr>
          <w:rFonts w:hint="eastAsia" w:ascii="仿宋_GB2312" w:hAnsi="宋体" w:eastAsia="仿宋_GB2312"/>
          <w:sz w:val="32"/>
          <w:szCs w:val="32"/>
        </w:rPr>
      </w:pPr>
      <w:r>
        <w:rPr>
          <w:rFonts w:hint="eastAsia" w:ascii="仿宋_GB2312" w:hAnsi="宋体" w:eastAsia="仿宋_GB2312"/>
          <w:sz w:val="32"/>
          <w:szCs w:val="32"/>
        </w:rPr>
        <w:t>（四）数据资产的商业模式及应用</w:t>
      </w:r>
    </w:p>
    <w:p w14:paraId="3345725A">
      <w:pPr>
        <w:spacing w:line="360" w:lineRule="auto"/>
        <w:rPr>
          <w:rFonts w:ascii="仿宋_GB2312" w:hAnsi="宋体" w:eastAsia="仿宋_GB2312"/>
          <w:b/>
          <w:sz w:val="32"/>
          <w:szCs w:val="32"/>
        </w:rPr>
      </w:pPr>
      <w:r>
        <w:rPr>
          <w:rFonts w:hint="eastAsia" w:ascii="仿宋_GB2312" w:hAnsi="宋体" w:eastAsia="仿宋_GB2312"/>
          <w:b/>
          <w:sz w:val="32"/>
          <w:szCs w:val="32"/>
        </w:rPr>
        <w:t>模块二、</w:t>
      </w:r>
      <w:r>
        <w:rPr>
          <w:rFonts w:hint="eastAsia" w:ascii="仿宋_GB2312" w:hAnsi="宋体" w:eastAsia="仿宋_GB2312"/>
          <w:b/>
          <w:bCs/>
          <w:sz w:val="32"/>
          <w:szCs w:val="32"/>
        </w:rPr>
        <w:t>企业数字化转型与数据资产管理实践</w:t>
      </w:r>
    </w:p>
    <w:p w14:paraId="633B8AEA">
      <w:pPr>
        <w:pStyle w:val="19"/>
        <w:numPr>
          <w:ilvl w:val="0"/>
          <w:numId w:val="2"/>
        </w:numPr>
        <w:spacing w:line="360" w:lineRule="auto"/>
        <w:ind w:firstLineChars="0"/>
        <w:rPr>
          <w:rFonts w:ascii="仿宋_GB2312" w:hAnsi="宋体" w:eastAsia="仿宋_GB2312"/>
          <w:sz w:val="32"/>
          <w:szCs w:val="32"/>
        </w:rPr>
      </w:pPr>
      <w:r>
        <w:rPr>
          <w:rFonts w:hint="eastAsia" w:ascii="仿宋_GB2312" w:hAnsi="宋体" w:eastAsia="仿宋_GB2312"/>
          <w:sz w:val="32"/>
          <w:szCs w:val="32"/>
        </w:rPr>
        <w:t>数据资源的会计处理与入表</w:t>
      </w:r>
    </w:p>
    <w:p w14:paraId="3FB5497F">
      <w:pPr>
        <w:pStyle w:val="19"/>
        <w:numPr>
          <w:ilvl w:val="0"/>
          <w:numId w:val="2"/>
        </w:numPr>
        <w:spacing w:line="360" w:lineRule="auto"/>
        <w:ind w:firstLineChars="0"/>
        <w:rPr>
          <w:rFonts w:hint="eastAsia" w:ascii="仿宋_GB2312" w:hAnsi="宋体" w:eastAsia="仿宋_GB2312"/>
          <w:sz w:val="32"/>
          <w:szCs w:val="32"/>
        </w:rPr>
      </w:pPr>
      <w:r>
        <w:rPr>
          <w:rFonts w:hint="eastAsia" w:ascii="仿宋_GB2312" w:hAnsi="宋体" w:eastAsia="仿宋_GB2312"/>
          <w:sz w:val="32"/>
          <w:szCs w:val="32"/>
        </w:rPr>
        <w:t>标杆案例分享</w:t>
      </w:r>
    </w:p>
    <w:p w14:paraId="573A5118">
      <w:pPr>
        <w:rPr>
          <w:rFonts w:hint="eastAsia" w:ascii="仿宋_GB2312" w:hAnsi="宋体" w:eastAsia="仿宋_GB2312"/>
          <w:b/>
          <w:bCs/>
          <w:sz w:val="32"/>
          <w:szCs w:val="32"/>
        </w:rPr>
      </w:pPr>
      <w:r>
        <w:rPr>
          <w:rFonts w:hint="eastAsia" w:ascii="仿宋_GB2312" w:hAnsi="宋体" w:eastAsia="仿宋_GB2312"/>
          <w:b/>
          <w:bCs/>
          <w:sz w:val="32"/>
          <w:szCs w:val="32"/>
        </w:rPr>
        <w:t>模块三、数据资产价值评估与案例</w:t>
      </w:r>
    </w:p>
    <w:p w14:paraId="7345E8D9">
      <w:pPr>
        <w:pStyle w:val="19"/>
        <w:numPr>
          <w:ilvl w:val="0"/>
          <w:numId w:val="3"/>
        </w:numPr>
        <w:ind w:firstLineChars="0"/>
        <w:rPr>
          <w:rFonts w:hint="eastAsia" w:ascii="仿宋_GB2312" w:hAnsi="宋体" w:eastAsia="仿宋_GB2312"/>
          <w:sz w:val="32"/>
          <w:szCs w:val="32"/>
        </w:rPr>
      </w:pPr>
      <w:r>
        <w:rPr>
          <w:rFonts w:hint="eastAsia" w:ascii="仿宋_GB2312" w:hAnsi="宋体" w:eastAsia="仿宋_GB2312"/>
          <w:sz w:val="32"/>
          <w:szCs w:val="32"/>
        </w:rPr>
        <w:t>数据资产的价值来源、影响因素、实现路径</w:t>
      </w:r>
    </w:p>
    <w:p w14:paraId="6E89F1BE">
      <w:pPr>
        <w:pStyle w:val="19"/>
        <w:numPr>
          <w:ilvl w:val="0"/>
          <w:numId w:val="3"/>
        </w:numPr>
        <w:ind w:firstLineChars="0"/>
        <w:rPr>
          <w:rFonts w:hint="eastAsia" w:ascii="仿宋_GB2312" w:hAnsi="宋体" w:eastAsia="仿宋_GB2312"/>
          <w:sz w:val="32"/>
          <w:szCs w:val="32"/>
        </w:rPr>
      </w:pPr>
      <w:r>
        <w:rPr>
          <w:rFonts w:hint="eastAsia" w:ascii="仿宋_GB2312" w:hAnsi="宋体" w:eastAsia="仿宋_GB2312"/>
          <w:sz w:val="32"/>
          <w:szCs w:val="32"/>
        </w:rPr>
        <w:t>数据资产评估方法</w:t>
      </w:r>
    </w:p>
    <w:p w14:paraId="3D0BEA47">
      <w:pPr>
        <w:pStyle w:val="19"/>
        <w:numPr>
          <w:ilvl w:val="0"/>
          <w:numId w:val="3"/>
        </w:numPr>
        <w:ind w:firstLineChars="0"/>
        <w:rPr>
          <w:rFonts w:hint="eastAsia" w:ascii="仿宋_GB2312" w:hAnsi="宋体" w:eastAsia="仿宋_GB2312"/>
          <w:sz w:val="32"/>
          <w:szCs w:val="32"/>
        </w:rPr>
      </w:pPr>
      <w:r>
        <w:rPr>
          <w:rFonts w:hint="eastAsia" w:ascii="仿宋_GB2312" w:hAnsi="宋体" w:eastAsia="仿宋_GB2312"/>
          <w:sz w:val="32"/>
          <w:szCs w:val="32"/>
        </w:rPr>
        <w:t>典型案例</w:t>
      </w:r>
    </w:p>
    <w:bookmarkEnd w:id="2"/>
    <w:p w14:paraId="112B308B">
      <w:pPr>
        <w:spacing w:line="360" w:lineRule="auto"/>
        <w:rPr>
          <w:rFonts w:hint="eastAsia" w:ascii="仿宋_GB2312" w:hAnsi="宋体" w:eastAsia="仿宋_GB2312"/>
          <w:b/>
          <w:sz w:val="32"/>
          <w:szCs w:val="32"/>
        </w:rPr>
      </w:pPr>
      <w:r>
        <w:rPr>
          <w:rFonts w:hint="eastAsia" w:ascii="仿宋_GB2312" w:hAnsi="宋体" w:eastAsia="仿宋_GB2312"/>
          <w:b/>
          <w:sz w:val="32"/>
          <w:szCs w:val="32"/>
        </w:rPr>
        <w:t>模块四、税务处理</w:t>
      </w:r>
    </w:p>
    <w:p w14:paraId="40F20D54">
      <w:pPr>
        <w:spacing w:line="360" w:lineRule="auto"/>
        <w:rPr>
          <w:rFonts w:hint="eastAsia"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数据资产的可税性</w:t>
      </w:r>
    </w:p>
    <w:p w14:paraId="20F61846">
      <w:pPr>
        <w:spacing w:line="360" w:lineRule="auto"/>
        <w:rPr>
          <w:rFonts w:hint="eastAsia"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数据资产税收的国际实践</w:t>
      </w:r>
    </w:p>
    <w:p w14:paraId="1C0DF738">
      <w:pPr>
        <w:spacing w:line="360" w:lineRule="auto"/>
        <w:rPr>
          <w:rFonts w:hint="eastAsia"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数据资产</w:t>
      </w:r>
      <w:r>
        <w:rPr>
          <w:rFonts w:hint="eastAsia" w:ascii="仿宋_GB2312" w:hAnsi="宋体" w:eastAsia="仿宋_GB2312"/>
          <w:sz w:val="32"/>
          <w:szCs w:val="32"/>
        </w:rPr>
        <w:t>的相关税收及</w:t>
      </w:r>
      <w:r>
        <w:rPr>
          <w:rFonts w:ascii="仿宋_GB2312" w:hAnsi="宋体" w:eastAsia="仿宋_GB2312"/>
          <w:sz w:val="32"/>
          <w:szCs w:val="32"/>
        </w:rPr>
        <w:t>课税方案探讨</w:t>
      </w:r>
    </w:p>
    <w:p w14:paraId="0912CFBB">
      <w:pPr>
        <w:spacing w:line="360" w:lineRule="auto"/>
        <w:rPr>
          <w:rFonts w:hint="eastAsia" w:ascii="仿宋_GB2312" w:hAnsi="宋体" w:eastAsia="仿宋_GB2312"/>
          <w:sz w:val="32"/>
          <w:szCs w:val="32"/>
        </w:rPr>
      </w:pPr>
      <w:r>
        <w:rPr>
          <w:rFonts w:hint="eastAsia" w:ascii="仿宋_GB2312" w:hAnsi="宋体" w:eastAsia="仿宋_GB2312"/>
          <w:sz w:val="32"/>
          <w:szCs w:val="32"/>
        </w:rPr>
        <w:t>（四）数据资产课税的征管配套</w:t>
      </w:r>
    </w:p>
    <w:p w14:paraId="2FCC6411">
      <w:pPr>
        <w:spacing w:line="360" w:lineRule="auto"/>
        <w:rPr>
          <w:rFonts w:ascii="仿宋_GB2312" w:hAnsi="宋体" w:eastAsia="仿宋_GB2312"/>
          <w:b/>
          <w:sz w:val="32"/>
          <w:szCs w:val="32"/>
        </w:rPr>
      </w:pPr>
      <w:r>
        <w:rPr>
          <w:rFonts w:hint="eastAsia" w:ascii="仿宋_GB2312" w:hAnsi="宋体" w:eastAsia="仿宋_GB2312"/>
          <w:b/>
          <w:sz w:val="32"/>
          <w:szCs w:val="32"/>
        </w:rPr>
        <w:t>模块五、数据资产风险管理与审计</w:t>
      </w:r>
    </w:p>
    <w:p w14:paraId="352AE759">
      <w:pPr>
        <w:spacing w:line="360" w:lineRule="auto"/>
        <w:rPr>
          <w:rFonts w:hint="eastAsia"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数据资产</w:t>
      </w:r>
      <w:r>
        <w:rPr>
          <w:rFonts w:hint="eastAsia" w:ascii="仿宋_GB2312" w:hAnsi="宋体" w:eastAsia="仿宋_GB2312"/>
          <w:sz w:val="32"/>
          <w:szCs w:val="32"/>
        </w:rPr>
        <w:t>风险的识别、评估与缓解策略</w:t>
      </w:r>
    </w:p>
    <w:p w14:paraId="524F5A20">
      <w:pPr>
        <w:spacing w:line="360" w:lineRule="auto"/>
        <w:rPr>
          <w:rFonts w:ascii="仿宋_GB2312" w:hAnsi="宋体" w:eastAsia="仿宋_GB2312"/>
          <w:sz w:val="32"/>
          <w:szCs w:val="32"/>
        </w:rPr>
      </w:pPr>
      <w:r>
        <w:rPr>
          <w:rFonts w:hint="eastAsia" w:ascii="仿宋_GB2312" w:hAnsi="宋体" w:eastAsia="仿宋_GB2312"/>
          <w:sz w:val="32"/>
          <w:szCs w:val="32"/>
        </w:rPr>
        <w:t>（二）数据合规审计与数据资产审计概述</w:t>
      </w:r>
    </w:p>
    <w:p w14:paraId="14414756">
      <w:pPr>
        <w:spacing w:line="360" w:lineRule="auto"/>
        <w:rPr>
          <w:rFonts w:hint="eastAsia" w:ascii="仿宋_GB2312" w:hAnsi="宋体" w:eastAsia="仿宋_GB2312"/>
          <w:sz w:val="32"/>
          <w:szCs w:val="32"/>
        </w:rPr>
      </w:pPr>
      <w:r>
        <w:rPr>
          <w:rFonts w:hint="eastAsia" w:ascii="仿宋_GB2312" w:hAnsi="宋体" w:eastAsia="仿宋_GB2312"/>
          <w:sz w:val="32"/>
          <w:szCs w:val="32"/>
        </w:rPr>
        <w:t>（三）数据资产审计工具与案例分析</w:t>
      </w:r>
    </w:p>
    <w:p w14:paraId="17EA801F">
      <w:pPr>
        <w:spacing w:line="360" w:lineRule="auto"/>
        <w:rPr>
          <w:rFonts w:hint="default" w:ascii="仿宋_GB2312" w:hAnsi="宋体" w:eastAsia="仿宋_GB2312"/>
          <w:b/>
          <w:sz w:val="32"/>
          <w:szCs w:val="32"/>
          <w:lang w:val="en-US" w:eastAsia="zh-CN"/>
        </w:rPr>
      </w:pPr>
      <w:r>
        <w:rPr>
          <w:rFonts w:hint="eastAsia" w:ascii="仿宋_GB2312" w:hAnsi="宋体" w:eastAsia="仿宋_GB2312"/>
          <w:b/>
          <w:sz w:val="32"/>
          <w:szCs w:val="32"/>
        </w:rPr>
        <w:t>模块六、标杆案例/现场教学</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往期学员可参加）</w:t>
      </w:r>
    </w:p>
    <w:p w14:paraId="7F223601">
      <w:pPr>
        <w:numPr>
          <w:ilvl w:val="0"/>
          <w:numId w:val="4"/>
        </w:numPr>
        <w:spacing w:line="360" w:lineRule="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走进上海数交所，深入了解数据产品登记、交易等全流程。</w:t>
      </w:r>
    </w:p>
    <w:p w14:paraId="53DBF40B">
      <w:pPr>
        <w:numPr>
          <w:ilvl w:val="0"/>
          <w:numId w:val="4"/>
        </w:numPr>
        <w:spacing w:line="360" w:lineRule="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深入了解标杆企业的数据资产建设过程</w:t>
      </w:r>
    </w:p>
    <w:p w14:paraId="7D45981A">
      <w:pPr>
        <w:spacing w:line="360" w:lineRule="auto"/>
        <w:rPr>
          <w:rFonts w:hint="eastAsia" w:ascii="仿宋_GB2312" w:hAnsi="宋体" w:eastAsia="仿宋_GB2312"/>
          <w:b/>
          <w:sz w:val="32"/>
          <w:szCs w:val="32"/>
        </w:rPr>
      </w:pPr>
      <w:r>
        <w:rPr>
          <w:rFonts w:hint="eastAsia" w:ascii="仿宋_GB2312" w:hAnsi="宋体" w:eastAsia="仿宋_GB2312"/>
          <w:b/>
          <w:sz w:val="32"/>
          <w:szCs w:val="32"/>
        </w:rPr>
        <w:t>模块七、闭门研讨会</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往期学员可参加）</w:t>
      </w:r>
    </w:p>
    <w:p w14:paraId="1EA123E3">
      <w:pPr>
        <w:numPr>
          <w:ilvl w:val="0"/>
          <w:numId w:val="0"/>
        </w:numPr>
        <w:spacing w:line="360" w:lineRule="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汇聚多领域专家，协助解决企业数据资产落地痛点。</w:t>
      </w:r>
    </w:p>
    <w:p w14:paraId="07ACD2F7">
      <w:pPr>
        <w:spacing w:line="360" w:lineRule="auto"/>
        <w:rPr>
          <w:rFonts w:hint="eastAsia" w:ascii="仿宋_GB2312" w:hAnsi="宋体" w:eastAsia="仿宋_GB2312"/>
          <w:b/>
          <w:sz w:val="32"/>
          <w:szCs w:val="32"/>
        </w:rPr>
      </w:pPr>
      <w:r>
        <w:rPr>
          <w:rFonts w:hint="eastAsia" w:ascii="仿宋_GB2312" w:hAnsi="宋体" w:eastAsia="仿宋_GB2312"/>
          <w:b/>
          <w:sz w:val="32"/>
          <w:szCs w:val="32"/>
        </w:rPr>
        <w:t>模块八、数据资产的法律合规(线上)</w:t>
      </w:r>
    </w:p>
    <w:p w14:paraId="0C2611B2">
      <w:pPr>
        <w:spacing w:line="360" w:lineRule="auto"/>
        <w:rPr>
          <w:rFonts w:hint="eastAsia" w:ascii="仿宋_GB2312" w:hAnsi="宋体" w:eastAsia="仿宋_GB2312"/>
          <w:sz w:val="32"/>
          <w:szCs w:val="32"/>
        </w:rPr>
      </w:pPr>
      <w:r>
        <w:rPr>
          <w:rFonts w:hint="eastAsia" w:ascii="仿宋_GB2312" w:hAnsi="宋体" w:eastAsia="仿宋_GB2312"/>
          <w:sz w:val="32"/>
          <w:szCs w:val="32"/>
        </w:rPr>
        <w:t>（一）我国数据法律法规体系</w:t>
      </w:r>
    </w:p>
    <w:p w14:paraId="2B81837A">
      <w:pPr>
        <w:spacing w:line="360" w:lineRule="auto"/>
        <w:rPr>
          <w:rFonts w:hint="eastAsia" w:ascii="仿宋_GB2312" w:hAnsi="宋体" w:eastAsia="仿宋_GB2312"/>
          <w:sz w:val="32"/>
          <w:szCs w:val="32"/>
        </w:rPr>
      </w:pPr>
      <w:r>
        <w:rPr>
          <w:rFonts w:hint="eastAsia" w:ascii="仿宋_GB2312" w:hAnsi="宋体" w:eastAsia="仿宋_GB2312"/>
          <w:sz w:val="32"/>
          <w:szCs w:val="32"/>
        </w:rPr>
        <w:t>（二）数据权益与数据确权</w:t>
      </w:r>
    </w:p>
    <w:p w14:paraId="229DA06F">
      <w:pPr>
        <w:spacing w:line="360" w:lineRule="auto"/>
        <w:rPr>
          <w:rFonts w:hint="eastAsia" w:ascii="仿宋_GB2312" w:hAnsi="宋体" w:eastAsia="仿宋_GB2312"/>
          <w:sz w:val="32"/>
          <w:szCs w:val="32"/>
        </w:rPr>
      </w:pPr>
      <w:r>
        <w:rPr>
          <w:rFonts w:hint="eastAsia" w:ascii="仿宋_GB2312" w:hAnsi="宋体" w:eastAsia="仿宋_GB2312"/>
          <w:sz w:val="32"/>
          <w:szCs w:val="32"/>
        </w:rPr>
        <w:t>（三）数据二十条与三权分置</w:t>
      </w:r>
    </w:p>
    <w:p w14:paraId="1420963F">
      <w:pPr>
        <w:spacing w:line="360" w:lineRule="auto"/>
        <w:rPr>
          <w:rFonts w:hint="eastAsia" w:ascii="仿宋_GB2312" w:hAnsi="宋体" w:eastAsia="仿宋_GB2312"/>
          <w:sz w:val="32"/>
          <w:szCs w:val="32"/>
        </w:rPr>
      </w:pPr>
      <w:r>
        <w:rPr>
          <w:rFonts w:hint="eastAsia" w:ascii="仿宋_GB2312" w:hAnsi="宋体" w:eastAsia="仿宋_GB2312"/>
          <w:sz w:val="32"/>
          <w:szCs w:val="32"/>
        </w:rPr>
        <w:t>（四）数据资源入表的负面清单</w:t>
      </w:r>
    </w:p>
    <w:p w14:paraId="4AC549CC">
      <w:pPr>
        <w:spacing w:line="360" w:lineRule="auto"/>
        <w:rPr>
          <w:rFonts w:hint="eastAsia" w:ascii="仿宋_GB2312" w:hAnsi="宋体" w:eastAsia="仿宋_GB2312"/>
          <w:sz w:val="32"/>
          <w:szCs w:val="32"/>
        </w:rPr>
      </w:pPr>
      <w:r>
        <w:rPr>
          <w:rFonts w:hint="eastAsia" w:ascii="仿宋_GB2312" w:hAnsi="宋体" w:eastAsia="仿宋_GB2312"/>
          <w:sz w:val="32"/>
          <w:szCs w:val="32"/>
        </w:rPr>
        <w:t>（五）数据资产管理的合规路径</w:t>
      </w:r>
    </w:p>
    <w:p w14:paraId="49FB6A0F">
      <w:pPr>
        <w:spacing w:line="360" w:lineRule="auto"/>
        <w:rPr>
          <w:rFonts w:hint="eastAsia" w:ascii="仿宋_GB2312" w:hAnsi="宋体" w:eastAsia="仿宋_GB2312"/>
          <w:b/>
          <w:sz w:val="32"/>
          <w:szCs w:val="32"/>
        </w:rPr>
      </w:pPr>
      <w:r>
        <w:rPr>
          <w:rFonts w:hint="eastAsia" w:ascii="仿宋_GB2312" w:hAnsi="宋体" w:eastAsia="仿宋_GB2312"/>
          <w:b/>
          <w:sz w:val="32"/>
          <w:szCs w:val="32"/>
        </w:rPr>
        <w:t>模块九、数据管理（线上）</w:t>
      </w:r>
    </w:p>
    <w:p w14:paraId="3EA4C023">
      <w:pPr>
        <w:spacing w:line="360" w:lineRule="auto"/>
        <w:rPr>
          <w:rFonts w:hint="eastAsia"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）DAMA数据管理介绍</w:t>
      </w:r>
    </w:p>
    <w:p w14:paraId="516BDAF3">
      <w:pPr>
        <w:spacing w:line="360" w:lineRule="auto"/>
        <w:rPr>
          <w:rFonts w:hint="eastAsia"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）数据治理和数据管理</w:t>
      </w:r>
    </w:p>
    <w:p w14:paraId="31BB8D1F">
      <w:pPr>
        <w:spacing w:line="360" w:lineRule="auto"/>
        <w:rPr>
          <w:rFonts w:hint="eastAsia"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）数据模型和数据架构</w:t>
      </w:r>
    </w:p>
    <w:p w14:paraId="0321A6DF">
      <w:pPr>
        <w:spacing w:line="360" w:lineRule="auto"/>
        <w:rPr>
          <w:rFonts w:hint="eastAsia"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）数据元（数据标准）和元数据</w:t>
      </w:r>
    </w:p>
    <w:p w14:paraId="3D0B6CDD">
      <w:pPr>
        <w:spacing w:line="360" w:lineRule="auto"/>
        <w:rPr>
          <w:rFonts w:hint="eastAsia" w:ascii="仿宋_GB2312" w:hAnsi="宋体" w:eastAsia="仿宋_GB2312"/>
          <w:sz w:val="32"/>
          <w:szCs w:val="32"/>
        </w:rPr>
      </w:pPr>
      <w:r>
        <w:rPr>
          <w:rFonts w:hint="eastAsia" w:ascii="仿宋_GB2312" w:hAnsi="宋体" w:eastAsia="仿宋_GB2312"/>
          <w:sz w:val="32"/>
          <w:szCs w:val="32"/>
        </w:rPr>
        <w:t>（五</w:t>
      </w:r>
      <w:r>
        <w:rPr>
          <w:rFonts w:ascii="仿宋_GB2312" w:hAnsi="宋体" w:eastAsia="仿宋_GB2312"/>
          <w:sz w:val="32"/>
          <w:szCs w:val="32"/>
        </w:rPr>
        <w:t>）数据质量和主数据</w:t>
      </w:r>
    </w:p>
    <w:p w14:paraId="31080764">
      <w:pPr>
        <w:spacing w:line="360" w:lineRule="auto"/>
        <w:rPr>
          <w:rFonts w:hint="eastAsia" w:ascii="仿宋_GB2312" w:hAnsi="宋体" w:eastAsia="仿宋_GB2312"/>
          <w:sz w:val="32"/>
          <w:szCs w:val="32"/>
        </w:rPr>
      </w:pPr>
      <w:r>
        <w:rPr>
          <w:rFonts w:hint="eastAsia" w:ascii="仿宋_GB2312" w:hAnsi="宋体" w:eastAsia="仿宋_GB2312"/>
          <w:sz w:val="32"/>
          <w:szCs w:val="32"/>
        </w:rPr>
        <w:t>（六</w:t>
      </w:r>
      <w:r>
        <w:rPr>
          <w:rFonts w:ascii="仿宋_GB2312" w:hAnsi="宋体" w:eastAsia="仿宋_GB2312"/>
          <w:sz w:val="32"/>
          <w:szCs w:val="32"/>
        </w:rPr>
        <w:t>）CDMP认证介绍</w:t>
      </w:r>
    </w:p>
    <w:p w14:paraId="0D8FDEDD">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五、拟邀师资</w:t>
      </w:r>
    </w:p>
    <w:p w14:paraId="63657B95">
      <w:pPr>
        <w:pStyle w:val="6"/>
        <w:shd w:val="clear" w:color="auto" w:fill="FFFFFF"/>
        <w:spacing w:before="0" w:beforeAutospacing="0" w:after="0" w:afterAutospacing="0"/>
        <w:jc w:val="both"/>
        <w:textAlignment w:val="center"/>
        <w:rPr>
          <w:rFonts w:hint="eastAsia" w:ascii="仿宋_GB2312" w:eastAsia="仿宋_GB2312" w:cstheme="minorBidi"/>
          <w:kern w:val="2"/>
          <w:sz w:val="32"/>
          <w:szCs w:val="32"/>
        </w:rPr>
      </w:pPr>
      <w:r>
        <w:rPr>
          <w:rFonts w:hint="eastAsia" w:ascii="仿宋_GB2312" w:eastAsia="仿宋_GB2312" w:cstheme="minorBidi"/>
          <w:kern w:val="2"/>
          <w:sz w:val="32"/>
          <w:szCs w:val="32"/>
        </w:rPr>
        <w:t>李老师（课程主任）：上海国家会计学院副教授、硕士生导师，上海国家会计学院国际财务报告准则协同研究中心主任，上海财经大学管理学</w:t>
      </w:r>
      <w:r>
        <w:rPr>
          <w:rFonts w:ascii="仿宋_GB2312" w:eastAsia="仿宋_GB2312" w:cstheme="minorBidi"/>
          <w:kern w:val="2"/>
          <w:sz w:val="32"/>
          <w:szCs w:val="32"/>
        </w:rPr>
        <w:t>(会计学方向）博士，美国加州大学伯克利分校访问学者、英国爱丁堡龙比亚大学访问学者。</w:t>
      </w:r>
      <w:r>
        <w:rPr>
          <w:rFonts w:hint="eastAsia" w:ascii="仿宋_GB2312" w:eastAsia="仿宋_GB2312" w:cstheme="minorBidi"/>
          <w:kern w:val="2"/>
          <w:sz w:val="32"/>
          <w:szCs w:val="32"/>
        </w:rPr>
        <w:t>近年来主持或参与多项与数据资产相关的课题及调研工作、发表相关论文并获奖。财政部第四届企业会计准则咨询委员会委员，</w:t>
      </w:r>
      <w:r>
        <w:rPr>
          <w:rFonts w:ascii="仿宋_GB2312" w:eastAsia="仿宋_GB2312" w:cstheme="minorBidi"/>
          <w:kern w:val="2"/>
          <w:sz w:val="32"/>
          <w:szCs w:val="32"/>
        </w:rPr>
        <w:t>财政部国际化高端会计人才</w:t>
      </w:r>
      <w:r>
        <w:rPr>
          <w:rFonts w:hint="eastAsia" w:ascii="仿宋_GB2312" w:eastAsia="仿宋_GB2312" w:cstheme="minorBidi"/>
          <w:kern w:val="2"/>
          <w:sz w:val="32"/>
          <w:szCs w:val="32"/>
        </w:rPr>
        <w:t>和</w:t>
      </w:r>
      <w:r>
        <w:rPr>
          <w:rFonts w:ascii="仿宋_GB2312" w:eastAsia="仿宋_GB2312" w:cstheme="minorBidi"/>
          <w:kern w:val="2"/>
          <w:sz w:val="32"/>
          <w:szCs w:val="32"/>
        </w:rPr>
        <w:t>对外财经人才</w:t>
      </w:r>
      <w:r>
        <w:rPr>
          <w:rFonts w:hint="eastAsia" w:ascii="仿宋_GB2312" w:eastAsia="仿宋_GB2312" w:cstheme="minorBidi"/>
          <w:kern w:val="2"/>
          <w:sz w:val="32"/>
          <w:szCs w:val="32"/>
        </w:rPr>
        <w:t>、</w:t>
      </w:r>
      <w:r>
        <w:rPr>
          <w:rFonts w:ascii="仿宋_GB2312" w:eastAsia="仿宋_GB2312" w:cstheme="minorBidi"/>
          <w:kern w:val="2"/>
          <w:sz w:val="32"/>
          <w:szCs w:val="32"/>
        </w:rPr>
        <w:t>联合国审计人才。</w:t>
      </w:r>
    </w:p>
    <w:p w14:paraId="4742DEEA">
      <w:pPr>
        <w:pStyle w:val="6"/>
        <w:shd w:val="clear" w:color="auto" w:fill="FFFFFF"/>
        <w:spacing w:before="0" w:beforeAutospacing="0" w:after="0" w:afterAutospacing="0"/>
        <w:jc w:val="both"/>
        <w:textAlignment w:val="center"/>
        <w:rPr>
          <w:rFonts w:hint="eastAsia" w:ascii="仿宋_GB2312" w:eastAsia="仿宋_GB2312" w:cstheme="minorBidi"/>
          <w:kern w:val="2"/>
          <w:sz w:val="32"/>
          <w:szCs w:val="32"/>
        </w:rPr>
      </w:pPr>
      <w:r>
        <w:rPr>
          <w:rFonts w:hint="eastAsia" w:ascii="仿宋_GB2312" w:eastAsia="仿宋_GB2312" w:cstheme="minorBidi"/>
          <w:kern w:val="2"/>
          <w:sz w:val="32"/>
          <w:szCs w:val="32"/>
        </w:rPr>
        <w:t>季老师（课程主任）：上海国家会计学院数字服务研究中心学术主任、</w:t>
      </w:r>
      <w:r>
        <w:rPr>
          <w:rFonts w:ascii="仿宋_GB2312" w:eastAsia="仿宋_GB2312" w:cstheme="minorBidi"/>
          <w:kern w:val="2"/>
          <w:sz w:val="32"/>
          <w:szCs w:val="32"/>
        </w:rPr>
        <w:t>CFO领导力研究中心执行主任。美国圣路易斯华盛顿大学奥林商学院，亚利桑那州立大学凯瑞商学院访问学者。</w:t>
      </w:r>
      <w:r>
        <w:rPr>
          <w:rFonts w:hint="eastAsia" w:ascii="仿宋_GB2312" w:eastAsia="仿宋_GB2312" w:cstheme="minorBidi"/>
          <w:kern w:val="2"/>
          <w:sz w:val="32"/>
          <w:szCs w:val="32"/>
        </w:rPr>
        <w:t>近年来主持或参与多项与数据资产相关的课题及调研工作、并发表相关论文。</w:t>
      </w:r>
    </w:p>
    <w:p w14:paraId="60B829CE">
      <w:pPr>
        <w:pStyle w:val="6"/>
        <w:shd w:val="clear" w:color="auto" w:fill="FFFFFF"/>
        <w:spacing w:before="0" w:beforeAutospacing="0" w:after="0" w:afterAutospacing="0" w:line="360" w:lineRule="auto"/>
        <w:jc w:val="both"/>
        <w:textAlignment w:val="center"/>
        <w:rPr>
          <w:rFonts w:ascii="仿宋_GB2312" w:eastAsia="仿宋_GB2312" w:cstheme="minorBidi"/>
          <w:kern w:val="2"/>
          <w:sz w:val="32"/>
          <w:szCs w:val="32"/>
        </w:rPr>
      </w:pPr>
      <w:r>
        <w:rPr>
          <w:rFonts w:hint="eastAsia" w:ascii="仿宋_GB2312" w:eastAsia="仿宋_GB2312" w:cstheme="minorBidi"/>
          <w:kern w:val="2"/>
          <w:sz w:val="32"/>
          <w:szCs w:val="32"/>
        </w:rPr>
        <w:t>葛老师：上海国家会计学院副教授，应用经济系主任，曾挂职于财政部条法司。入选第七批全国</w:t>
      </w:r>
      <w:r>
        <w:rPr>
          <w:rFonts w:ascii="仿宋_GB2312" w:eastAsia="仿宋_GB2312" w:cstheme="minorBidi"/>
          <w:kern w:val="2"/>
          <w:sz w:val="32"/>
          <w:szCs w:val="32"/>
        </w:rPr>
        <w:t>税务领军人才</w:t>
      </w:r>
      <w:r>
        <w:rPr>
          <w:rFonts w:hint="eastAsia" w:ascii="仿宋_GB2312" w:eastAsia="仿宋_GB2312" w:cstheme="minorBidi"/>
          <w:kern w:val="2"/>
          <w:sz w:val="32"/>
          <w:szCs w:val="32"/>
        </w:rPr>
        <w:t>，近年来主持或参与多项与数据资产相关的课题与调研工作。</w:t>
      </w:r>
    </w:p>
    <w:p w14:paraId="78BFABC9">
      <w:pPr>
        <w:pStyle w:val="6"/>
        <w:shd w:val="clear" w:color="auto" w:fill="FFFFFF"/>
        <w:spacing w:line="360" w:lineRule="auto"/>
        <w:textAlignment w:val="center"/>
        <w:rPr>
          <w:rFonts w:ascii="仿宋_GB2312" w:eastAsia="仿宋_GB2312" w:cstheme="minorBidi"/>
          <w:kern w:val="2"/>
          <w:sz w:val="32"/>
          <w:szCs w:val="32"/>
        </w:rPr>
      </w:pPr>
      <w:r>
        <w:rPr>
          <w:rFonts w:hint="eastAsia" w:ascii="仿宋_GB2312" w:eastAsia="仿宋_GB2312" w:cstheme="minorBidi"/>
          <w:kern w:val="2"/>
          <w:sz w:val="32"/>
          <w:szCs w:val="32"/>
        </w:rPr>
        <w:t xml:space="preserve">李老师：上海国家会计学院教授，上海财经大学兼职博士生博导，享受国务院政府特殊津贴；被财政部聘为内部控制标准委员会咨询专家。现任上海国家会计学院医院运营管理研究中心主任。兼任中国会计学会内部控制专业委员会委员。 </w:t>
      </w:r>
    </w:p>
    <w:p w14:paraId="26CFC777">
      <w:pPr>
        <w:pStyle w:val="6"/>
        <w:shd w:val="clear" w:color="auto" w:fill="FFFFFF"/>
        <w:spacing w:line="360" w:lineRule="auto"/>
        <w:textAlignment w:val="center"/>
        <w:rPr>
          <w:rFonts w:hint="eastAsia" w:ascii="仿宋_GB2312" w:eastAsia="仿宋_GB2312" w:cstheme="minorBidi"/>
          <w:kern w:val="2"/>
          <w:sz w:val="32"/>
          <w:szCs w:val="32"/>
        </w:rPr>
      </w:pPr>
      <w:r>
        <w:rPr>
          <w:rFonts w:hint="eastAsia" w:ascii="仿宋_GB2312" w:eastAsia="仿宋_GB2312" w:cstheme="minorBidi"/>
          <w:kern w:val="2"/>
          <w:sz w:val="32"/>
          <w:szCs w:val="32"/>
        </w:rPr>
        <w:t>赵老师：新华社中国经济信息社数据资产运营首席执行官，复旦大学管理学博士，曾担任上海数据交易所研究员、数据资产化研究项目负责人，主要研究方向包括数据资产入表、评估、创新应用等，具有丰富的数据资产入表和估值实践与理论研究经验。</w:t>
      </w:r>
    </w:p>
    <w:p w14:paraId="471CB2BD">
      <w:pPr>
        <w:pStyle w:val="6"/>
        <w:shd w:val="clear" w:color="auto" w:fill="FFFFFF"/>
        <w:spacing w:before="0" w:beforeAutospacing="0" w:after="0" w:afterAutospacing="0"/>
        <w:jc w:val="both"/>
        <w:textAlignment w:val="center"/>
        <w:rPr>
          <w:rFonts w:ascii="仿宋_GB2312" w:eastAsia="仿宋_GB2312" w:cstheme="minorBidi"/>
          <w:kern w:val="2"/>
          <w:sz w:val="32"/>
          <w:szCs w:val="32"/>
        </w:rPr>
      </w:pPr>
      <w:r>
        <w:rPr>
          <w:rFonts w:hint="eastAsia" w:ascii="仿宋_GB2312" w:eastAsia="仿宋_GB2312" w:cstheme="minorBidi"/>
          <w:kern w:val="2"/>
          <w:sz w:val="32"/>
          <w:szCs w:val="32"/>
        </w:rPr>
        <w:t>李老师：中联资产评估集团有限公司副总裁、中国资产评估协会资产评估行业高端人才、北京资产评估协会专家型管理人才。中国资产评估协会国际业务专家、中国资产评估协会公允价值委员会委员、北京资产评估协会信息化建设委员会主任。现为中国中化、国家电投、中国华电、中铝集团等多家央企资产评估报告审核专家及培训讲师，北京证监局、海南证监局、青海证监局检查组专家，中信证券、申万宏源证券特聘评估专家。《数据资产评估指导意见》《信息技术</w:t>
      </w:r>
      <w:r>
        <w:rPr>
          <w:rFonts w:ascii="仿宋_GB2312" w:eastAsia="仿宋_GB2312" w:cstheme="minorBidi"/>
          <w:kern w:val="2"/>
          <w:sz w:val="32"/>
          <w:szCs w:val="32"/>
        </w:rPr>
        <w:t xml:space="preserve"> 大数据 数据资产评估》等数据资产评估准则、标准起草者。</w:t>
      </w:r>
    </w:p>
    <w:p w14:paraId="0702F679">
      <w:pPr>
        <w:pStyle w:val="6"/>
        <w:shd w:val="clear" w:color="auto" w:fill="FFFFFF"/>
        <w:spacing w:before="0" w:beforeAutospacing="0" w:after="0" w:afterAutospacing="0"/>
        <w:jc w:val="both"/>
        <w:textAlignment w:val="center"/>
        <w:rPr>
          <w:rFonts w:hint="eastAsia" w:ascii="仿宋_GB2312" w:eastAsia="仿宋_GB2312" w:cstheme="minorBidi"/>
          <w:kern w:val="2"/>
          <w:sz w:val="32"/>
          <w:szCs w:val="32"/>
        </w:rPr>
      </w:pPr>
      <w:r>
        <w:rPr>
          <w:rFonts w:hint="eastAsia" w:ascii="仿宋_GB2312" w:eastAsia="仿宋_GB2312" w:cstheme="minorBidi"/>
          <w:kern w:val="2"/>
          <w:sz w:val="32"/>
          <w:szCs w:val="32"/>
        </w:rPr>
        <w:t>张老师：</w:t>
      </w:r>
      <w:r>
        <w:rPr>
          <w:rFonts w:ascii="仿宋_GB2312" w:eastAsia="仿宋_GB2312" w:cstheme="minorBidi"/>
          <w:kern w:val="2"/>
          <w:sz w:val="32"/>
          <w:szCs w:val="32"/>
        </w:rPr>
        <w:t>上海政法学院教授，上海全球安全治理研究院全球化法律问题研究所所长，曾挂职担任上海市人大常委会财经委处长并全程参与《上海市数据条例》的起草工作，其主要研究领域为:数据法、金融监管法、“一带一路”法治保障，在国内外核心期刊及报纸发表中英文论文60余篇。</w:t>
      </w:r>
      <w:r>
        <w:rPr>
          <w:rFonts w:hint="eastAsia" w:ascii="仿宋_GB2312" w:eastAsia="仿宋_GB2312"/>
          <w:sz w:val="32"/>
          <w:szCs w:val="32"/>
        </w:rPr>
        <w:t>汪老师：国际数据管理协会大中华区主席，国务院国资委数字化转型和数据要素百问专家数据战略组组长，《数据管理和数字化转型》丛书主编，《首席数据官知识体系指南》主编、《数据资产管理知识体系指南》主编（2024年10月）、国家人社部留学创业优秀人才，美国EDM委员会中国区主席，济南市、东莞市数字政府专家。</w:t>
      </w:r>
    </w:p>
    <w:p w14:paraId="3C2B3CA2">
      <w:pPr>
        <w:pStyle w:val="6"/>
        <w:shd w:val="clear" w:color="auto" w:fill="FFFFFF"/>
        <w:spacing w:before="0" w:beforeAutospacing="0" w:after="0" w:afterAutospacing="0"/>
        <w:jc w:val="both"/>
        <w:textAlignment w:val="center"/>
        <w:rPr>
          <w:rFonts w:hint="eastAsia" w:ascii="仿宋_GB2312" w:eastAsia="仿宋_GB2312" w:cstheme="minorBidi"/>
          <w:kern w:val="2"/>
          <w:sz w:val="32"/>
          <w:szCs w:val="32"/>
        </w:rPr>
      </w:pPr>
      <w:r>
        <w:rPr>
          <w:rFonts w:hint="eastAsia" w:ascii="仿宋_GB2312" w:eastAsia="仿宋_GB2312" w:cstheme="minorBidi"/>
          <w:kern w:val="2"/>
          <w:sz w:val="32"/>
          <w:szCs w:val="32"/>
        </w:rPr>
        <w:t>以及来自上海数交所、上海市数商协会、知名企业及中介机构的资深实务专家。</w:t>
      </w:r>
    </w:p>
    <w:p w14:paraId="5D806187">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六、学员评价</w:t>
      </w:r>
    </w:p>
    <w:p w14:paraId="0C0A3CE4">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本次课程让我对数据资产建设的整体背景和具体路径都有了详细的了解，指导性很强。</w:t>
      </w:r>
    </w:p>
    <w:p w14:paraId="7FCEA13C">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  --梁同学  上海某科技有限公司副总经理</w:t>
      </w:r>
    </w:p>
    <w:p w14:paraId="350C73A8">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本次培训让我了解数据的准确政策导向，有效评估方法和挖掘数据价值的重要性，受益匪浅！</w:t>
      </w:r>
    </w:p>
    <w:p w14:paraId="39BDCD6C">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   --黄同学 某科技发展有限公司董事长</w:t>
      </w:r>
    </w:p>
    <w:p w14:paraId="446BD5AC">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七、收费标准</w:t>
      </w:r>
    </w:p>
    <w:p w14:paraId="77F0F0D6">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1.培训费：7200元/人；</w:t>
      </w:r>
    </w:p>
    <w:p w14:paraId="71543B46">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2.食宿统一安排，费用自理，具体标准以开课通知为准。</w:t>
      </w:r>
      <w:r>
        <w:rPr>
          <w:rFonts w:hint="eastAsia" w:ascii="仿宋_GB2312" w:eastAsia="仿宋_GB2312" w:hAnsiTheme="minorEastAsia"/>
          <w:sz w:val="32"/>
          <w:szCs w:val="32"/>
        </w:rPr>
        <w:t>特别说明：数商大会参会期间，统一安排学院至会场往返大巴接送，用餐自理。</w:t>
      </w:r>
    </w:p>
    <w:p w14:paraId="4772DE3F">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3.费用支付方式：培训费由上海国家会计学院收取，支付宝/微信扫码、汇款。食宿费由酒店收取，现场支付。</w:t>
      </w:r>
    </w:p>
    <w:p w14:paraId="1CC4ED6E">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4.关于发票：培训费发票由学院提供；食宿发票由酒店提供。</w:t>
      </w:r>
    </w:p>
    <w:p w14:paraId="49D566EF">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八、结业证书</w:t>
      </w:r>
    </w:p>
    <w:p w14:paraId="1ADAADBA">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培训班结束后由学院颁发结业证书，并注明学时。继续教育学时认定事宜，烦请学员咨询当地主管部门。</w:t>
      </w:r>
    </w:p>
    <w:p w14:paraId="4E441FE0">
      <w:pPr>
        <w:spacing w:line="360" w:lineRule="auto"/>
        <w:rPr>
          <w:rFonts w:hint="eastAsia" w:ascii="仿宋_GB2312" w:eastAsia="仿宋_GB2312" w:cs="Times New Roman" w:hAnsiTheme="minorEastAsia"/>
          <w:b/>
          <w:bCs/>
          <w:color w:val="000000"/>
          <w:sz w:val="32"/>
          <w:szCs w:val="32"/>
        </w:rPr>
      </w:pPr>
      <w:r>
        <w:rPr>
          <w:rFonts w:hint="eastAsia" w:ascii="仿宋_GB2312" w:eastAsia="仿宋_GB2312" w:cs="Times New Roman" w:hAnsiTheme="minorEastAsia"/>
          <w:b/>
          <w:bCs/>
          <w:color w:val="000000"/>
          <w:sz w:val="32"/>
          <w:szCs w:val="32"/>
        </w:rPr>
        <w:t>九、报名咨询</w:t>
      </w:r>
    </w:p>
    <w:p w14:paraId="24B3A289">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w:t>
      </w:r>
      <w:bookmarkStart w:id="3" w:name="_GoBack"/>
      <w:bookmarkEnd w:id="3"/>
      <w:r>
        <w:rPr>
          <w:rFonts w:hint="eastAsia" w:ascii="仿宋_GB2312" w:hAnsi="宋体" w:eastAsia="仿宋_GB2312"/>
          <w:sz w:val="32"/>
          <w:szCs w:val="32"/>
        </w:rPr>
        <w:t>胡老师13671861672</w:t>
      </w:r>
    </w:p>
    <w:p w14:paraId="2687C080">
      <w:pPr>
        <w:spacing w:line="360" w:lineRule="auto"/>
        <w:rPr>
          <w:rFonts w:hint="eastAsia" w:ascii="仿宋_GB2312" w:hAnsi="宋体" w:eastAsia="仿宋_GB2312"/>
          <w:sz w:val="32"/>
          <w:szCs w:val="32"/>
        </w:rPr>
      </w:pPr>
    </w:p>
    <w:p w14:paraId="79BA57EE">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九、课程顾问</w:t>
      </w:r>
    </w:p>
    <w:p w14:paraId="204E006A">
      <w:pPr>
        <w:spacing w:line="360" w:lineRule="auto"/>
        <w:rPr>
          <w:rFonts w:hint="eastAsia" w:ascii="宋体" w:hAnsi="宋体" w:eastAsia="宋体"/>
          <w:sz w:val="32"/>
          <w:szCs w:val="32"/>
        </w:rPr>
      </w:pPr>
      <w:r>
        <w:rPr>
          <w:rFonts w:ascii="仿宋_GB2312" w:hAnsi="宋体" w:eastAsia="仿宋_GB2312"/>
          <w:sz w:val="32"/>
          <w:szCs w:val="32"/>
        </w:rPr>
        <w:t>联系人：</w:t>
      </w:r>
      <w:r>
        <w:rPr>
          <w:rFonts w:hint="eastAsia" w:ascii="仿宋_GB2312" w:hAnsi="宋体" w:eastAsia="仿宋_GB2312"/>
          <w:sz w:val="32"/>
          <w:szCs w:val="32"/>
        </w:rPr>
        <w:t xml:space="preserve">马老师 </w:t>
      </w:r>
      <w:r>
        <w:rPr>
          <w:rFonts w:ascii="仿宋_GB2312" w:hAnsi="宋体" w:eastAsia="仿宋_GB2312"/>
          <w:sz w:val="32"/>
          <w:szCs w:val="32"/>
        </w:rPr>
        <w:t>18121168388</w:t>
      </w:r>
    </w:p>
    <w:p w14:paraId="0F17AD90">
      <w:pPr>
        <w:widowControl/>
        <w:tabs>
          <w:tab w:val="center" w:pos="4766"/>
          <w:tab w:val="left" w:pos="6716"/>
        </w:tabs>
        <w:spacing w:line="360" w:lineRule="auto"/>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附件二：</w:t>
      </w:r>
    </w:p>
    <w:p w14:paraId="1A6A3313">
      <w:pPr>
        <w:widowControl/>
        <w:tabs>
          <w:tab w:val="center" w:pos="4766"/>
          <w:tab w:val="left" w:pos="6716"/>
        </w:tabs>
        <w:spacing w:line="360" w:lineRule="auto"/>
        <w:ind w:firstLine="641" w:firstLineChars="200"/>
        <w:jc w:val="center"/>
        <w:rPr>
          <w:rFonts w:hint="eastAsia" w:ascii="黑体" w:hAnsi="黑体" w:eastAsia="黑体" w:cs="微软雅黑"/>
          <w:b/>
          <w:bCs/>
          <w:color w:val="000000"/>
          <w:kern w:val="0"/>
          <w:sz w:val="32"/>
          <w:szCs w:val="32"/>
        </w:rPr>
      </w:pPr>
      <w:r>
        <w:rPr>
          <w:rFonts w:hint="eastAsia" w:ascii="黑体" w:hAnsi="黑体" w:eastAsia="黑体" w:cs="微软雅黑"/>
          <w:b/>
          <w:bCs/>
          <w:color w:val="000000"/>
          <w:kern w:val="0"/>
          <w:sz w:val="32"/>
          <w:szCs w:val="32"/>
        </w:rPr>
        <w:t>“数据资产研修班”</w:t>
      </w:r>
    </w:p>
    <w:p w14:paraId="7736177F">
      <w:pPr>
        <w:widowControl/>
        <w:tabs>
          <w:tab w:val="center" w:pos="4766"/>
          <w:tab w:val="left" w:pos="6716"/>
        </w:tabs>
        <w:spacing w:line="360" w:lineRule="auto"/>
        <w:ind w:firstLine="641" w:firstLineChars="200"/>
        <w:jc w:val="center"/>
        <w:rPr>
          <w:rFonts w:hint="eastAsia" w:ascii="黑体" w:hAnsi="黑体" w:eastAsia="黑体" w:cs="宋体"/>
          <w:b/>
          <w:bCs/>
          <w:color w:val="000000"/>
          <w:kern w:val="0"/>
          <w:sz w:val="32"/>
          <w:szCs w:val="32"/>
        </w:rPr>
      </w:pPr>
      <w:r>
        <w:rPr>
          <w:rFonts w:hint="eastAsia" w:ascii="黑体" w:hAnsi="黑体" w:eastAsia="黑体" w:cs="微软雅黑"/>
          <w:b/>
          <w:bCs/>
          <w:color w:val="000000"/>
          <w:kern w:val="0"/>
          <w:sz w:val="32"/>
          <w:szCs w:val="32"/>
        </w:rPr>
        <w:t>报名表</w:t>
      </w:r>
    </w:p>
    <w:tbl>
      <w:tblPr>
        <w:tblStyle w:val="8"/>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71"/>
        <w:gridCol w:w="567"/>
        <w:gridCol w:w="567"/>
        <w:gridCol w:w="284"/>
        <w:gridCol w:w="425"/>
        <w:gridCol w:w="567"/>
        <w:gridCol w:w="425"/>
        <w:gridCol w:w="384"/>
        <w:gridCol w:w="183"/>
        <w:gridCol w:w="851"/>
        <w:gridCol w:w="850"/>
        <w:gridCol w:w="992"/>
        <w:gridCol w:w="1931"/>
      </w:tblGrid>
      <w:tr w14:paraId="23BA7F98">
        <w:trPr>
          <w:trHeight w:val="644"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305ACB">
            <w:pPr>
              <w:autoSpaceDN w:val="0"/>
              <w:spacing w:before="156" w:after="156"/>
              <w:jc w:val="center"/>
              <w:rPr>
                <w:rFonts w:hint="eastAsia" w:ascii="宋体" w:hAnsi="宋体" w:eastAsia="宋体"/>
                <w:color w:val="58595B"/>
                <w:szCs w:val="21"/>
              </w:rPr>
            </w:pPr>
            <w:r>
              <w:rPr>
                <w:rFonts w:hint="eastAsia" w:ascii="宋体" w:hAnsi="宋体" w:eastAsia="宋体"/>
                <w:b/>
                <w:color w:val="000000"/>
                <w:szCs w:val="21"/>
              </w:rPr>
              <w:t>单位名称</w:t>
            </w:r>
          </w:p>
        </w:tc>
        <w:tc>
          <w:tcPr>
            <w:tcW w:w="8026"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182118">
            <w:pPr>
              <w:autoSpaceDN w:val="0"/>
              <w:jc w:val="left"/>
              <w:rPr>
                <w:rFonts w:hint="eastAsia" w:ascii="宋体" w:hAnsi="宋体" w:eastAsia="宋体"/>
                <w:color w:val="58595B"/>
                <w:szCs w:val="21"/>
              </w:rPr>
            </w:pPr>
          </w:p>
        </w:tc>
      </w:tr>
      <w:tr w14:paraId="3E4302AF">
        <w:trPr>
          <w:trHeight w:val="580"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BDB6F2">
            <w:pPr>
              <w:tabs>
                <w:tab w:val="left" w:pos="360"/>
                <w:tab w:val="left" w:pos="540"/>
              </w:tabs>
              <w:wordWrap w:val="0"/>
              <w:autoSpaceDN w:val="0"/>
              <w:spacing w:before="156" w:after="156"/>
              <w:jc w:val="center"/>
              <w:rPr>
                <w:rFonts w:hint="eastAsia" w:ascii="宋体" w:hAnsi="宋体" w:eastAsia="宋体"/>
                <w:color w:val="58595B"/>
                <w:szCs w:val="21"/>
              </w:rPr>
            </w:pPr>
            <w:r>
              <w:rPr>
                <w:rFonts w:ascii="宋体" w:hAnsi="宋体" w:eastAsia="宋体"/>
                <w:b/>
                <w:color w:val="000000"/>
                <w:szCs w:val="21"/>
              </w:rPr>
              <w:t>联系人</w:t>
            </w:r>
            <w:r>
              <w:rPr>
                <w:rFonts w:hint="eastAsia" w:ascii="宋体" w:hAnsi="宋体" w:eastAsia="宋体"/>
                <w:b/>
                <w:color w:val="000000"/>
                <w:szCs w:val="21"/>
              </w:rPr>
              <w:t>姓名</w:t>
            </w: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203BC1">
            <w:pPr>
              <w:tabs>
                <w:tab w:val="left" w:pos="360"/>
                <w:tab w:val="left" w:pos="540"/>
              </w:tabs>
              <w:wordWrap w:val="0"/>
              <w:autoSpaceDN w:val="0"/>
              <w:jc w:val="center"/>
              <w:rPr>
                <w:rFonts w:hint="eastAsia" w:ascii="宋体" w:hAnsi="宋体" w:eastAsia="宋体"/>
                <w:color w:val="58595B"/>
                <w:szCs w:val="21"/>
              </w:rPr>
            </w:pP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A12CCA">
            <w:pPr>
              <w:tabs>
                <w:tab w:val="left" w:pos="360"/>
                <w:tab w:val="left" w:pos="540"/>
              </w:tabs>
              <w:wordWrap w:val="0"/>
              <w:autoSpaceDN w:val="0"/>
              <w:ind w:left="27"/>
              <w:jc w:val="center"/>
              <w:rPr>
                <w:rFonts w:hint="eastAsia" w:ascii="宋体" w:hAnsi="宋体" w:eastAsia="宋体"/>
                <w:b/>
                <w:color w:val="58595B"/>
                <w:szCs w:val="21"/>
              </w:rPr>
            </w:pPr>
            <w:r>
              <w:rPr>
                <w:rFonts w:hint="eastAsia" w:ascii="宋体" w:hAnsi="宋体" w:eastAsia="宋体"/>
                <w:b/>
                <w:color w:val="000000"/>
                <w:szCs w:val="21"/>
              </w:rPr>
              <w:t>电话</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14:paraId="7A3FF468">
            <w:pPr>
              <w:tabs>
                <w:tab w:val="left" w:pos="360"/>
                <w:tab w:val="left" w:pos="540"/>
              </w:tabs>
              <w:wordWrap w:val="0"/>
              <w:autoSpaceDN w:val="0"/>
              <w:ind w:left="27"/>
              <w:jc w:val="center"/>
              <w:rPr>
                <w:rFonts w:hint="eastAsia" w:ascii="宋体" w:hAnsi="宋体" w:eastAsia="宋体"/>
                <w:b/>
                <w:color w:val="58595B"/>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2902E60">
            <w:pPr>
              <w:tabs>
                <w:tab w:val="left" w:pos="360"/>
                <w:tab w:val="left" w:pos="540"/>
              </w:tabs>
              <w:wordWrap w:val="0"/>
              <w:autoSpaceDN w:val="0"/>
              <w:ind w:left="27"/>
              <w:jc w:val="center"/>
              <w:rPr>
                <w:rFonts w:hint="eastAsia" w:ascii="宋体" w:hAnsi="宋体" w:eastAsia="宋体"/>
                <w:b/>
                <w:color w:val="58595B"/>
                <w:szCs w:val="21"/>
              </w:rPr>
            </w:pPr>
            <w:r>
              <w:rPr>
                <w:rFonts w:ascii="宋体" w:hAnsi="宋体" w:eastAsia="宋体"/>
                <w:b/>
                <w:color w:val="000000"/>
                <w:szCs w:val="21"/>
              </w:rPr>
              <w:t>邮箱</w:t>
            </w: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704FBE43">
            <w:pPr>
              <w:tabs>
                <w:tab w:val="left" w:pos="360"/>
                <w:tab w:val="left" w:pos="540"/>
              </w:tabs>
              <w:wordWrap w:val="0"/>
              <w:autoSpaceDN w:val="0"/>
              <w:ind w:left="27"/>
              <w:jc w:val="center"/>
              <w:rPr>
                <w:rFonts w:hint="eastAsia" w:ascii="宋体" w:hAnsi="宋体" w:eastAsia="宋体"/>
                <w:color w:val="58595B"/>
                <w:szCs w:val="21"/>
              </w:rPr>
            </w:pPr>
          </w:p>
        </w:tc>
      </w:tr>
      <w:tr w14:paraId="06B1868E">
        <w:trPr>
          <w:trHeight w:val="580"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CAC52C">
            <w:pPr>
              <w:tabs>
                <w:tab w:val="left" w:pos="360"/>
                <w:tab w:val="left" w:pos="540"/>
              </w:tabs>
              <w:autoSpaceDN w:val="0"/>
              <w:spacing w:before="156" w:after="156"/>
              <w:jc w:val="center"/>
              <w:rPr>
                <w:rFonts w:hint="eastAsia" w:ascii="宋体" w:hAnsi="宋体" w:eastAsia="宋体"/>
                <w:b/>
                <w:color w:val="000000"/>
                <w:szCs w:val="21"/>
              </w:rPr>
            </w:pPr>
            <w:r>
              <w:rPr>
                <w:rFonts w:hint="eastAsia" w:ascii="宋体" w:hAnsi="宋体" w:eastAsia="宋体"/>
                <w:b/>
                <w:color w:val="000000"/>
                <w:szCs w:val="21"/>
              </w:rPr>
              <w:t>单位所在地</w:t>
            </w:r>
          </w:p>
        </w:tc>
        <w:tc>
          <w:tcPr>
            <w:tcW w:w="184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FAFB68">
            <w:pPr>
              <w:tabs>
                <w:tab w:val="left" w:pos="360"/>
                <w:tab w:val="left" w:pos="540"/>
              </w:tabs>
              <w:wordWrap w:val="0"/>
              <w:autoSpaceDN w:val="0"/>
              <w:ind w:left="27"/>
              <w:jc w:val="center"/>
              <w:rPr>
                <w:rFonts w:hint="eastAsia" w:ascii="宋体" w:hAnsi="宋体" w:eastAsia="宋体"/>
                <w:color w:val="58595B"/>
                <w:szCs w:val="21"/>
              </w:rPr>
            </w:pPr>
            <w:r>
              <w:rPr>
                <w:rFonts w:hint="eastAsia" w:ascii="宋体" w:hAnsi="宋体" w:eastAsia="宋体"/>
                <w:b/>
                <w:bCs/>
                <w:color w:val="000000"/>
                <w:szCs w:val="21"/>
              </w:rPr>
              <w:t xml:space="preserve">省 </w:t>
            </w:r>
            <w:r>
              <w:rPr>
                <w:rFonts w:ascii="宋体" w:hAnsi="宋体" w:eastAsia="宋体"/>
                <w:b/>
                <w:bCs/>
                <w:color w:val="000000"/>
                <w:szCs w:val="21"/>
              </w:rPr>
              <w:t xml:space="preserve">  </w:t>
            </w:r>
            <w:r>
              <w:rPr>
                <w:rFonts w:hint="eastAsia" w:ascii="宋体" w:hAnsi="宋体" w:eastAsia="宋体"/>
                <w:b/>
                <w:bCs/>
                <w:color w:val="000000"/>
                <w:szCs w:val="21"/>
              </w:rPr>
              <w:t>市</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638B9720">
            <w:pPr>
              <w:pStyle w:val="18"/>
              <w:jc w:val="center"/>
              <w:rPr>
                <w:rFonts w:hint="eastAsia" w:ascii="宋体" w:hAnsi="宋体"/>
                <w:szCs w:val="21"/>
              </w:rPr>
            </w:pPr>
            <w:r>
              <w:rPr>
                <w:rFonts w:hint="eastAsia" w:ascii="宋体" w:hAnsi="宋体"/>
                <w:b/>
                <w:color w:val="000000"/>
                <w:szCs w:val="21"/>
              </w:rPr>
              <w:t>所属行业</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14:paraId="7D31985D">
            <w:pPr>
              <w:tabs>
                <w:tab w:val="left" w:pos="360"/>
                <w:tab w:val="left" w:pos="540"/>
              </w:tabs>
              <w:wordWrap w:val="0"/>
              <w:autoSpaceDN w:val="0"/>
              <w:ind w:left="27"/>
              <w:jc w:val="center"/>
              <w:rPr>
                <w:rFonts w:hint="eastAsia" w:ascii="宋体" w:hAnsi="宋体" w:eastAsia="宋体"/>
                <w:color w:val="58595B"/>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2AF1DA5">
            <w:pPr>
              <w:tabs>
                <w:tab w:val="left" w:pos="360"/>
                <w:tab w:val="left" w:pos="540"/>
              </w:tabs>
              <w:wordWrap w:val="0"/>
              <w:autoSpaceDN w:val="0"/>
              <w:ind w:left="27"/>
              <w:jc w:val="center"/>
              <w:rPr>
                <w:rFonts w:hint="eastAsia" w:ascii="宋体" w:hAnsi="宋体" w:eastAsia="宋体"/>
                <w:b/>
                <w:bCs/>
                <w:color w:val="58595B"/>
                <w:szCs w:val="21"/>
              </w:rPr>
            </w:pPr>
            <w:r>
              <w:rPr>
                <w:rFonts w:hint="eastAsia" w:ascii="宋体" w:hAnsi="宋体" w:eastAsia="宋体"/>
                <w:b/>
                <w:color w:val="000000"/>
                <w:szCs w:val="21"/>
              </w:rPr>
              <w:t>年营收</w:t>
            </w:r>
          </w:p>
        </w:tc>
        <w:tc>
          <w:tcPr>
            <w:tcW w:w="1931" w:type="dxa"/>
            <w:tcBorders>
              <w:top w:val="single" w:color="000000" w:sz="4" w:space="0"/>
              <w:left w:val="single" w:color="000000" w:sz="4" w:space="0"/>
              <w:bottom w:val="single" w:color="000000" w:sz="4" w:space="0"/>
              <w:right w:val="single" w:color="000000" w:sz="4" w:space="0"/>
            </w:tcBorders>
            <w:vAlign w:val="center"/>
          </w:tcPr>
          <w:p w14:paraId="43113881">
            <w:pPr>
              <w:tabs>
                <w:tab w:val="left" w:pos="360"/>
                <w:tab w:val="left" w:pos="540"/>
              </w:tabs>
              <w:wordWrap w:val="0"/>
              <w:autoSpaceDN w:val="0"/>
              <w:ind w:left="27"/>
              <w:jc w:val="center"/>
              <w:rPr>
                <w:rFonts w:hint="eastAsia" w:ascii="宋体" w:hAnsi="宋体" w:eastAsia="宋体"/>
                <w:color w:val="58595B"/>
                <w:szCs w:val="21"/>
              </w:rPr>
            </w:pPr>
            <w:r>
              <w:rPr>
                <w:rFonts w:hint="eastAsia" w:ascii="宋体" w:hAnsi="宋体" w:eastAsia="宋体"/>
                <w:color w:val="58595B"/>
                <w:szCs w:val="21"/>
                <w:u w:val="single"/>
              </w:rPr>
              <w:t xml:space="preserve"> </w:t>
            </w:r>
            <w:r>
              <w:rPr>
                <w:rFonts w:ascii="宋体" w:hAnsi="宋体" w:eastAsia="宋体"/>
                <w:color w:val="58595B"/>
                <w:szCs w:val="21"/>
                <w:u w:val="single"/>
              </w:rPr>
              <w:t xml:space="preserve">      </w:t>
            </w:r>
            <w:r>
              <w:rPr>
                <w:rFonts w:hint="eastAsia" w:ascii="宋体" w:hAnsi="宋体" w:eastAsia="宋体"/>
                <w:color w:val="58595B"/>
                <w:szCs w:val="21"/>
              </w:rPr>
              <w:t>（万）</w:t>
            </w:r>
          </w:p>
        </w:tc>
      </w:tr>
      <w:tr w14:paraId="5D329008">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83B952">
            <w:pPr>
              <w:tabs>
                <w:tab w:val="left" w:pos="360"/>
                <w:tab w:val="left" w:pos="540"/>
              </w:tabs>
              <w:wordWrap w:val="0"/>
              <w:autoSpaceDN w:val="0"/>
              <w:spacing w:before="156" w:after="156"/>
              <w:jc w:val="center"/>
              <w:rPr>
                <w:rFonts w:hint="eastAsia" w:ascii="宋体" w:hAnsi="宋体" w:eastAsia="宋体"/>
                <w:b/>
                <w:color w:val="000000"/>
                <w:szCs w:val="21"/>
              </w:rPr>
            </w:pPr>
            <w:r>
              <w:rPr>
                <w:rFonts w:hint="eastAsia" w:ascii="宋体" w:hAnsi="宋体" w:eastAsia="宋体"/>
                <w:b/>
                <w:color w:val="000000"/>
                <w:szCs w:val="21"/>
              </w:rPr>
              <w:t>学员姓名</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9606C">
            <w:pPr>
              <w:tabs>
                <w:tab w:val="left" w:pos="360"/>
                <w:tab w:val="left" w:pos="540"/>
              </w:tabs>
              <w:wordWrap w:val="0"/>
              <w:autoSpaceDN w:val="0"/>
              <w:rPr>
                <w:rFonts w:hint="eastAsia" w:ascii="宋体" w:hAnsi="宋体" w:eastAsia="宋体"/>
                <w:b/>
                <w:color w:val="000000"/>
                <w:spacing w:val="-26"/>
                <w:szCs w:val="21"/>
              </w:rPr>
            </w:pPr>
            <w:r>
              <w:rPr>
                <w:rFonts w:ascii="宋体" w:hAnsi="宋体" w:eastAsia="宋体"/>
                <w:b/>
                <w:color w:val="000000"/>
                <w:spacing w:val="-26"/>
                <w:szCs w:val="21"/>
              </w:rPr>
              <w:t>性别</w:t>
            </w: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A4DCB7">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部门</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7B404EB">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职务</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202D53D6">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工作年限</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05F5EF85">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手机号码</w:t>
            </w: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46F26C53">
            <w:pPr>
              <w:tabs>
                <w:tab w:val="left" w:pos="360"/>
                <w:tab w:val="left" w:pos="540"/>
              </w:tabs>
              <w:wordWrap w:val="0"/>
              <w:autoSpaceDN w:val="0"/>
              <w:ind w:left="27"/>
              <w:jc w:val="center"/>
              <w:rPr>
                <w:rFonts w:hint="eastAsia" w:ascii="宋体" w:hAnsi="宋体" w:eastAsia="宋体"/>
                <w:b/>
                <w:color w:val="000000"/>
                <w:szCs w:val="21"/>
              </w:rPr>
            </w:pPr>
            <w:r>
              <w:rPr>
                <w:rFonts w:ascii="宋体" w:hAnsi="宋体" w:eastAsia="宋体"/>
                <w:b/>
                <w:color w:val="000000"/>
                <w:szCs w:val="21"/>
              </w:rPr>
              <w:t>邮箱</w:t>
            </w:r>
          </w:p>
        </w:tc>
      </w:tr>
      <w:tr w14:paraId="12D4BC5B">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CC619D">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9B4A6">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444CF">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11708076">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23FCD861">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3605CCD8">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17903883">
            <w:pPr>
              <w:tabs>
                <w:tab w:val="left" w:pos="360"/>
                <w:tab w:val="left" w:pos="540"/>
              </w:tabs>
              <w:wordWrap w:val="0"/>
              <w:autoSpaceDN w:val="0"/>
              <w:ind w:left="27"/>
              <w:jc w:val="center"/>
              <w:rPr>
                <w:rFonts w:hint="eastAsia" w:ascii="宋体" w:hAnsi="宋体" w:eastAsia="宋体"/>
                <w:b/>
                <w:color w:val="000000"/>
                <w:szCs w:val="21"/>
              </w:rPr>
            </w:pPr>
          </w:p>
        </w:tc>
      </w:tr>
      <w:tr w14:paraId="5F0E6313">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A9C78">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15DEA">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5CCE4B">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1C630FDB">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1F63FABC">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5996BE49">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070ED502">
            <w:pPr>
              <w:tabs>
                <w:tab w:val="left" w:pos="360"/>
                <w:tab w:val="left" w:pos="540"/>
              </w:tabs>
              <w:wordWrap w:val="0"/>
              <w:autoSpaceDN w:val="0"/>
              <w:ind w:left="27"/>
              <w:jc w:val="center"/>
              <w:rPr>
                <w:rFonts w:hint="eastAsia" w:ascii="宋体" w:hAnsi="宋体" w:eastAsia="宋体"/>
                <w:b/>
                <w:color w:val="000000"/>
                <w:szCs w:val="21"/>
              </w:rPr>
            </w:pPr>
          </w:p>
        </w:tc>
      </w:tr>
      <w:tr w14:paraId="50403713">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BB654">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8E99F7">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B596AF">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4A629E60">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4462AACE">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183F8A30">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58A515BF">
            <w:pPr>
              <w:tabs>
                <w:tab w:val="left" w:pos="360"/>
                <w:tab w:val="left" w:pos="540"/>
              </w:tabs>
              <w:wordWrap w:val="0"/>
              <w:autoSpaceDN w:val="0"/>
              <w:ind w:left="27"/>
              <w:jc w:val="center"/>
              <w:rPr>
                <w:rFonts w:hint="eastAsia" w:ascii="宋体" w:hAnsi="宋体" w:eastAsia="宋体"/>
                <w:b/>
                <w:color w:val="000000"/>
                <w:szCs w:val="21"/>
              </w:rPr>
            </w:pPr>
          </w:p>
        </w:tc>
      </w:tr>
      <w:tr w14:paraId="445BCB11">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DA2F4">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13652">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DACCC">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B5AF31D">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2B2D73AE">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09BBB361">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00DD4990">
            <w:pPr>
              <w:tabs>
                <w:tab w:val="left" w:pos="360"/>
                <w:tab w:val="left" w:pos="540"/>
              </w:tabs>
              <w:wordWrap w:val="0"/>
              <w:autoSpaceDN w:val="0"/>
              <w:ind w:left="27"/>
              <w:jc w:val="center"/>
              <w:rPr>
                <w:rFonts w:hint="eastAsia" w:ascii="宋体" w:hAnsi="宋体" w:eastAsia="宋体"/>
                <w:b/>
                <w:color w:val="000000"/>
                <w:szCs w:val="21"/>
              </w:rPr>
            </w:pPr>
          </w:p>
        </w:tc>
      </w:tr>
      <w:tr w14:paraId="67D931BE">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8A1609">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7C0175">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50A318">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1C8DB566">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0374D031">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33639BE1">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0F5FC36F">
            <w:pPr>
              <w:tabs>
                <w:tab w:val="left" w:pos="360"/>
                <w:tab w:val="left" w:pos="540"/>
              </w:tabs>
              <w:wordWrap w:val="0"/>
              <w:autoSpaceDN w:val="0"/>
              <w:ind w:left="27"/>
              <w:jc w:val="center"/>
              <w:rPr>
                <w:rFonts w:hint="eastAsia" w:ascii="宋体" w:hAnsi="宋体" w:eastAsia="宋体"/>
                <w:b/>
                <w:color w:val="000000"/>
                <w:szCs w:val="21"/>
              </w:rPr>
            </w:pPr>
          </w:p>
        </w:tc>
      </w:tr>
      <w:tr w14:paraId="2CF17836">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563D9D">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865F9E">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0EF0FC">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73FE36A">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29043AB1">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224C6255">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67651C09">
            <w:pPr>
              <w:tabs>
                <w:tab w:val="left" w:pos="360"/>
                <w:tab w:val="left" w:pos="540"/>
              </w:tabs>
              <w:wordWrap w:val="0"/>
              <w:autoSpaceDN w:val="0"/>
              <w:ind w:left="27"/>
              <w:jc w:val="center"/>
              <w:rPr>
                <w:rFonts w:hint="eastAsia" w:ascii="宋体" w:hAnsi="宋体" w:eastAsia="宋体"/>
                <w:b/>
                <w:color w:val="000000"/>
                <w:szCs w:val="21"/>
              </w:rPr>
            </w:pPr>
          </w:p>
        </w:tc>
      </w:tr>
      <w:tr w14:paraId="3063EB62">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9D7B85">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8773C">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22EB13">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CA10D2C">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39831F96">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765F85B8">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4999E7F1">
            <w:pPr>
              <w:tabs>
                <w:tab w:val="left" w:pos="360"/>
                <w:tab w:val="left" w:pos="540"/>
              </w:tabs>
              <w:wordWrap w:val="0"/>
              <w:autoSpaceDN w:val="0"/>
              <w:ind w:left="27"/>
              <w:jc w:val="center"/>
              <w:rPr>
                <w:rFonts w:hint="eastAsia" w:ascii="宋体" w:hAnsi="宋体" w:eastAsia="宋体"/>
                <w:b/>
                <w:color w:val="000000"/>
                <w:szCs w:val="21"/>
              </w:rPr>
            </w:pPr>
          </w:p>
        </w:tc>
      </w:tr>
      <w:tr w14:paraId="0A57AA63">
        <w:trPr>
          <w:trHeight w:val="1296" w:hRule="atLeast"/>
        </w:trPr>
        <w:tc>
          <w:tcPr>
            <w:tcW w:w="44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9D87C">
            <w:pPr>
              <w:tabs>
                <w:tab w:val="left" w:pos="360"/>
                <w:tab w:val="left" w:pos="540"/>
              </w:tabs>
              <w:wordWrap w:val="0"/>
              <w:autoSpaceDN w:val="0"/>
              <w:rPr>
                <w:rFonts w:hint="eastAsia" w:ascii="宋体" w:hAnsi="宋体" w:eastAsia="宋体" w:cs="宋体"/>
                <w:b/>
                <w:color w:val="000000"/>
                <w:szCs w:val="21"/>
              </w:rPr>
            </w:pPr>
            <w:r>
              <w:rPr>
                <w:rFonts w:hint="eastAsia" w:ascii="宋体" w:hAnsi="宋体" w:eastAsia="宋体" w:cs="宋体"/>
                <w:b/>
                <w:color w:val="000000"/>
                <w:szCs w:val="21"/>
              </w:rPr>
              <w:t>报名程序：</w:t>
            </w:r>
          </w:p>
          <w:p w14:paraId="2002C445">
            <w:pPr>
              <w:tabs>
                <w:tab w:val="left" w:pos="360"/>
                <w:tab w:val="left" w:pos="540"/>
              </w:tabs>
              <w:wordWrap w:val="0"/>
              <w:autoSpaceDN w:val="0"/>
              <w:ind w:left="27"/>
              <w:jc w:val="center"/>
              <w:rPr>
                <w:rFonts w:hint="eastAsia" w:ascii="宋体" w:hAnsi="宋体" w:eastAsia="宋体" w:cs="宋体"/>
                <w:bCs/>
                <w:color w:val="000000"/>
                <w:szCs w:val="21"/>
              </w:rPr>
            </w:pPr>
            <w:r>
              <w:rPr>
                <w:rFonts w:hint="eastAsia" w:ascii="宋体" w:hAnsi="宋体" w:eastAsia="宋体" w:cs="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305FE3">
            <w:pPr>
              <w:tabs>
                <w:tab w:val="left" w:pos="360"/>
                <w:tab w:val="left" w:pos="540"/>
              </w:tabs>
              <w:wordWrap w:val="0"/>
              <w:autoSpaceDN w:val="0"/>
              <w:rPr>
                <w:rFonts w:hint="eastAsia" w:ascii="宋体" w:hAnsi="宋体" w:eastAsia="宋体" w:cs="宋体"/>
                <w:b/>
                <w:color w:val="000000"/>
                <w:szCs w:val="21"/>
              </w:rPr>
            </w:pPr>
            <w:r>
              <w:rPr>
                <w:rFonts w:hint="eastAsia" w:ascii="宋体" w:hAnsi="宋体" w:eastAsia="宋体" w:cs="宋体"/>
                <w:b/>
                <w:color w:val="000000"/>
                <w:szCs w:val="21"/>
              </w:rPr>
              <w:t>学院账户：</w:t>
            </w:r>
          </w:p>
          <w:p w14:paraId="4BDB529E">
            <w:pPr>
              <w:tabs>
                <w:tab w:val="left" w:pos="360"/>
                <w:tab w:val="left" w:pos="540"/>
              </w:tabs>
              <w:wordWrap w:val="0"/>
              <w:autoSpaceDN w:val="0"/>
              <w:rPr>
                <w:rFonts w:hint="eastAsia" w:ascii="宋体" w:hAnsi="宋体" w:eastAsia="宋体" w:cs="宋体"/>
                <w:bCs/>
                <w:color w:val="000000"/>
                <w:szCs w:val="21"/>
              </w:rPr>
            </w:pPr>
            <w:r>
              <w:rPr>
                <w:rFonts w:hint="eastAsia" w:ascii="宋体" w:hAnsi="宋体" w:eastAsia="宋体" w:cs="宋体"/>
                <w:bCs/>
                <w:color w:val="000000"/>
                <w:szCs w:val="21"/>
              </w:rPr>
              <w:t>学院开户行：中国建设银行上海徐泾支行</w:t>
            </w:r>
          </w:p>
          <w:p w14:paraId="37FD585B">
            <w:pPr>
              <w:tabs>
                <w:tab w:val="left" w:pos="360"/>
                <w:tab w:val="left" w:pos="540"/>
              </w:tabs>
              <w:wordWrap w:val="0"/>
              <w:autoSpaceDN w:val="0"/>
              <w:rPr>
                <w:rFonts w:hint="eastAsia" w:ascii="宋体" w:hAnsi="宋体" w:eastAsia="宋体" w:cs="宋体"/>
                <w:bCs/>
                <w:color w:val="000000"/>
                <w:szCs w:val="21"/>
              </w:rPr>
            </w:pPr>
            <w:r>
              <w:rPr>
                <w:rFonts w:hint="eastAsia" w:ascii="宋体" w:hAnsi="宋体" w:eastAsia="宋体" w:cs="宋体"/>
                <w:bCs/>
                <w:color w:val="000000"/>
                <w:szCs w:val="21"/>
              </w:rPr>
              <w:t>单位名称：上海国家会计学院</w:t>
            </w:r>
          </w:p>
          <w:p w14:paraId="0D33768D">
            <w:pPr>
              <w:tabs>
                <w:tab w:val="left" w:pos="360"/>
                <w:tab w:val="left" w:pos="540"/>
              </w:tabs>
              <w:wordWrap w:val="0"/>
              <w:autoSpaceDN w:val="0"/>
              <w:rPr>
                <w:rFonts w:hint="eastAsia" w:ascii="宋体" w:hAnsi="宋体" w:eastAsia="宋体" w:cs="宋体"/>
                <w:bCs/>
                <w:color w:val="000000"/>
                <w:szCs w:val="21"/>
              </w:rPr>
            </w:pPr>
            <w:r>
              <w:rPr>
                <w:rFonts w:hint="eastAsia" w:ascii="宋体" w:hAnsi="宋体" w:eastAsia="宋体" w:cs="宋体"/>
                <w:bCs/>
                <w:color w:val="000000"/>
                <w:szCs w:val="21"/>
              </w:rPr>
              <w:t>汇款账号：31001984300059768088</w:t>
            </w:r>
          </w:p>
        </w:tc>
      </w:tr>
    </w:tbl>
    <w:p w14:paraId="60303D0D">
      <w:pPr>
        <w:rPr>
          <w:rFonts w:hint="eastAsia" w:ascii="宋体" w:hAnsi="宋体" w:eastAsia="宋体"/>
        </w:rPr>
      </w:pPr>
    </w:p>
    <w:p w14:paraId="35A3188E">
      <w:pPr>
        <w:spacing w:line="360" w:lineRule="auto"/>
        <w:rPr>
          <w:rFonts w:hint="eastAsia" w:ascii="仿宋_GB2312" w:eastAsia="仿宋_GB2312" w:hAnsiTheme="minorEastAsia"/>
          <w:b/>
          <w:sz w:val="32"/>
          <w:szCs w:val="32"/>
        </w:rPr>
      </w:pPr>
    </w:p>
    <w:bookmarkEnd w:id="0"/>
    <w:p w14:paraId="72F5D5E0">
      <w:pPr>
        <w:spacing w:line="360" w:lineRule="auto"/>
        <w:rPr>
          <w:rFonts w:hint="eastAsia"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MicrosoftYaHei">
    <w:altName w:val="苹方-简"/>
    <w:panose1 w:val="00000000000000000000"/>
    <w:charset w:val="00"/>
    <w:family w:val="roman"/>
    <w:pitch w:val="default"/>
    <w:sig w:usb0="00000000" w:usb1="00000000" w:usb2="00000000" w:usb3="00000000" w:csb0="00040001" w:csb1="00000000"/>
  </w:font>
  <w:font w:name="Kaiti SC">
    <w:panose1 w:val="02010600040101010101"/>
    <w:charset w:val="86"/>
    <w:family w:val="auto"/>
    <w:pitch w:val="default"/>
    <w:sig w:usb0="80000287" w:usb1="280F3C52"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Songti SC">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02355"/>
    <w:multiLevelType w:val="multilevel"/>
    <w:tmpl w:val="13E0235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8964C6B"/>
    <w:multiLevelType w:val="multilevel"/>
    <w:tmpl w:val="28964C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910A6B"/>
    <w:multiLevelType w:val="singleLevel"/>
    <w:tmpl w:val="43910A6B"/>
    <w:lvl w:ilvl="0" w:tentative="0">
      <w:start w:val="1"/>
      <w:numFmt w:val="chineseCounting"/>
      <w:suff w:val="nothing"/>
      <w:lvlText w:val="（%1）"/>
      <w:lvlJc w:val="left"/>
      <w:rPr>
        <w:rFonts w:hint="eastAsia"/>
      </w:rPr>
    </w:lvl>
  </w:abstractNum>
  <w:abstractNum w:abstractNumId="3">
    <w:nsid w:val="6DE36726"/>
    <w:multiLevelType w:val="multilevel"/>
    <w:tmpl w:val="6DE3672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ZDExZmIxNzA0YjNhYzI5NTRlYjJjYTFlNTE2ZGIifQ=="/>
  </w:docVars>
  <w:rsids>
    <w:rsidRoot w:val="000D1038"/>
    <w:rsid w:val="00002812"/>
    <w:rsid w:val="00014CB8"/>
    <w:rsid w:val="000305FE"/>
    <w:rsid w:val="00040A54"/>
    <w:rsid w:val="0004268A"/>
    <w:rsid w:val="000566DA"/>
    <w:rsid w:val="00067800"/>
    <w:rsid w:val="00090637"/>
    <w:rsid w:val="00090BFC"/>
    <w:rsid w:val="000B35AD"/>
    <w:rsid w:val="000B53B6"/>
    <w:rsid w:val="000C215A"/>
    <w:rsid w:val="000D1038"/>
    <w:rsid w:val="00106B70"/>
    <w:rsid w:val="00106C37"/>
    <w:rsid w:val="001121D9"/>
    <w:rsid w:val="001125FA"/>
    <w:rsid w:val="001156DF"/>
    <w:rsid w:val="00121233"/>
    <w:rsid w:val="00123D75"/>
    <w:rsid w:val="00162190"/>
    <w:rsid w:val="00167FAF"/>
    <w:rsid w:val="0017243F"/>
    <w:rsid w:val="00185D17"/>
    <w:rsid w:val="001A3A57"/>
    <w:rsid w:val="001B36D6"/>
    <w:rsid w:val="001B3F22"/>
    <w:rsid w:val="001B47BA"/>
    <w:rsid w:val="001F36CA"/>
    <w:rsid w:val="00211A40"/>
    <w:rsid w:val="002674F2"/>
    <w:rsid w:val="00275852"/>
    <w:rsid w:val="0027611C"/>
    <w:rsid w:val="00285A59"/>
    <w:rsid w:val="00287403"/>
    <w:rsid w:val="00287BB8"/>
    <w:rsid w:val="002A4D20"/>
    <w:rsid w:val="002B2B42"/>
    <w:rsid w:val="002C03D0"/>
    <w:rsid w:val="002C1430"/>
    <w:rsid w:val="002C500E"/>
    <w:rsid w:val="002E090E"/>
    <w:rsid w:val="002E4650"/>
    <w:rsid w:val="002E6B78"/>
    <w:rsid w:val="002F79BA"/>
    <w:rsid w:val="003038F8"/>
    <w:rsid w:val="00304707"/>
    <w:rsid w:val="00305AF4"/>
    <w:rsid w:val="00333E79"/>
    <w:rsid w:val="00352143"/>
    <w:rsid w:val="00354641"/>
    <w:rsid w:val="00360C4F"/>
    <w:rsid w:val="00381F24"/>
    <w:rsid w:val="00397F08"/>
    <w:rsid w:val="003A0EAE"/>
    <w:rsid w:val="003A757B"/>
    <w:rsid w:val="003B0CA6"/>
    <w:rsid w:val="003B1BA1"/>
    <w:rsid w:val="003C1D80"/>
    <w:rsid w:val="004033A3"/>
    <w:rsid w:val="00407D9C"/>
    <w:rsid w:val="00410545"/>
    <w:rsid w:val="0042206B"/>
    <w:rsid w:val="004225FA"/>
    <w:rsid w:val="004301B5"/>
    <w:rsid w:val="00430920"/>
    <w:rsid w:val="00435665"/>
    <w:rsid w:val="00456A61"/>
    <w:rsid w:val="00465B81"/>
    <w:rsid w:val="00472612"/>
    <w:rsid w:val="00475FC6"/>
    <w:rsid w:val="004824DC"/>
    <w:rsid w:val="00493FEC"/>
    <w:rsid w:val="0049631F"/>
    <w:rsid w:val="004A281D"/>
    <w:rsid w:val="004B255F"/>
    <w:rsid w:val="004C74B1"/>
    <w:rsid w:val="004D28B8"/>
    <w:rsid w:val="004D77AF"/>
    <w:rsid w:val="004E0884"/>
    <w:rsid w:val="0050051F"/>
    <w:rsid w:val="005141DC"/>
    <w:rsid w:val="005155D9"/>
    <w:rsid w:val="00530E1A"/>
    <w:rsid w:val="00541E7F"/>
    <w:rsid w:val="00542566"/>
    <w:rsid w:val="00544E50"/>
    <w:rsid w:val="00550781"/>
    <w:rsid w:val="005526E9"/>
    <w:rsid w:val="00555C94"/>
    <w:rsid w:val="00593097"/>
    <w:rsid w:val="005965C6"/>
    <w:rsid w:val="005A0BA6"/>
    <w:rsid w:val="005D2142"/>
    <w:rsid w:val="005D72B2"/>
    <w:rsid w:val="0060616F"/>
    <w:rsid w:val="00611DE1"/>
    <w:rsid w:val="00614F20"/>
    <w:rsid w:val="00621B46"/>
    <w:rsid w:val="00621DFA"/>
    <w:rsid w:val="0062555C"/>
    <w:rsid w:val="006332ED"/>
    <w:rsid w:val="006435B5"/>
    <w:rsid w:val="0064752E"/>
    <w:rsid w:val="00660091"/>
    <w:rsid w:val="006833A4"/>
    <w:rsid w:val="006B07FC"/>
    <w:rsid w:val="006B1810"/>
    <w:rsid w:val="006C163A"/>
    <w:rsid w:val="0070176E"/>
    <w:rsid w:val="00703740"/>
    <w:rsid w:val="00703F45"/>
    <w:rsid w:val="007060C1"/>
    <w:rsid w:val="00717B77"/>
    <w:rsid w:val="0072158F"/>
    <w:rsid w:val="00736EAE"/>
    <w:rsid w:val="00751640"/>
    <w:rsid w:val="007669E3"/>
    <w:rsid w:val="00795A6B"/>
    <w:rsid w:val="007969DA"/>
    <w:rsid w:val="007970D9"/>
    <w:rsid w:val="007A1BC4"/>
    <w:rsid w:val="007A496E"/>
    <w:rsid w:val="007B10CA"/>
    <w:rsid w:val="007B6CD6"/>
    <w:rsid w:val="007D2E84"/>
    <w:rsid w:val="007D54FD"/>
    <w:rsid w:val="007F1989"/>
    <w:rsid w:val="007F5BD6"/>
    <w:rsid w:val="00803999"/>
    <w:rsid w:val="00813DDE"/>
    <w:rsid w:val="008279FF"/>
    <w:rsid w:val="00833067"/>
    <w:rsid w:val="00840E24"/>
    <w:rsid w:val="00845D7B"/>
    <w:rsid w:val="008512EC"/>
    <w:rsid w:val="00852197"/>
    <w:rsid w:val="008568C8"/>
    <w:rsid w:val="00857B67"/>
    <w:rsid w:val="00873562"/>
    <w:rsid w:val="00874D0A"/>
    <w:rsid w:val="00887244"/>
    <w:rsid w:val="008D7A74"/>
    <w:rsid w:val="008D7E50"/>
    <w:rsid w:val="008E59AD"/>
    <w:rsid w:val="008F1ABB"/>
    <w:rsid w:val="008F6D48"/>
    <w:rsid w:val="008F7A03"/>
    <w:rsid w:val="009026D7"/>
    <w:rsid w:val="009306E5"/>
    <w:rsid w:val="0094148E"/>
    <w:rsid w:val="009509BE"/>
    <w:rsid w:val="009626DD"/>
    <w:rsid w:val="009704B1"/>
    <w:rsid w:val="009920E3"/>
    <w:rsid w:val="009A5822"/>
    <w:rsid w:val="009B17B6"/>
    <w:rsid w:val="009B546A"/>
    <w:rsid w:val="009D020E"/>
    <w:rsid w:val="009D1718"/>
    <w:rsid w:val="009F7ABF"/>
    <w:rsid w:val="00A15B4A"/>
    <w:rsid w:val="00A16888"/>
    <w:rsid w:val="00A41EF2"/>
    <w:rsid w:val="00A47D25"/>
    <w:rsid w:val="00A53443"/>
    <w:rsid w:val="00A630B5"/>
    <w:rsid w:val="00A65CF6"/>
    <w:rsid w:val="00A71BEA"/>
    <w:rsid w:val="00A73602"/>
    <w:rsid w:val="00A92905"/>
    <w:rsid w:val="00A94B47"/>
    <w:rsid w:val="00A97078"/>
    <w:rsid w:val="00AD2718"/>
    <w:rsid w:val="00AD5298"/>
    <w:rsid w:val="00AD678E"/>
    <w:rsid w:val="00AD7E66"/>
    <w:rsid w:val="00B01CF3"/>
    <w:rsid w:val="00B30BA2"/>
    <w:rsid w:val="00B41594"/>
    <w:rsid w:val="00B73F5A"/>
    <w:rsid w:val="00B873F9"/>
    <w:rsid w:val="00BA1FD2"/>
    <w:rsid w:val="00BA695B"/>
    <w:rsid w:val="00BB26AD"/>
    <w:rsid w:val="00BB3732"/>
    <w:rsid w:val="00BB4B4E"/>
    <w:rsid w:val="00BB4EE1"/>
    <w:rsid w:val="00BB55C0"/>
    <w:rsid w:val="00BC0A42"/>
    <w:rsid w:val="00BC4AAF"/>
    <w:rsid w:val="00BD3834"/>
    <w:rsid w:val="00BF34FA"/>
    <w:rsid w:val="00C14EDB"/>
    <w:rsid w:val="00C25F24"/>
    <w:rsid w:val="00C25F8D"/>
    <w:rsid w:val="00C30BA8"/>
    <w:rsid w:val="00C3634A"/>
    <w:rsid w:val="00C50743"/>
    <w:rsid w:val="00C6438E"/>
    <w:rsid w:val="00C66006"/>
    <w:rsid w:val="00C67F76"/>
    <w:rsid w:val="00C80056"/>
    <w:rsid w:val="00C8680E"/>
    <w:rsid w:val="00C94384"/>
    <w:rsid w:val="00CB1479"/>
    <w:rsid w:val="00CB1B54"/>
    <w:rsid w:val="00CB2C3D"/>
    <w:rsid w:val="00CD4C3D"/>
    <w:rsid w:val="00CE1720"/>
    <w:rsid w:val="00CE1FD9"/>
    <w:rsid w:val="00CE36EE"/>
    <w:rsid w:val="00CF56AB"/>
    <w:rsid w:val="00D0165E"/>
    <w:rsid w:val="00D61DFD"/>
    <w:rsid w:val="00D94F54"/>
    <w:rsid w:val="00DB5394"/>
    <w:rsid w:val="00DB6A66"/>
    <w:rsid w:val="00DC2411"/>
    <w:rsid w:val="00DC6CAA"/>
    <w:rsid w:val="00DD068B"/>
    <w:rsid w:val="00DD06E6"/>
    <w:rsid w:val="00DD124A"/>
    <w:rsid w:val="00DF1BB5"/>
    <w:rsid w:val="00DF3BEE"/>
    <w:rsid w:val="00E21BBC"/>
    <w:rsid w:val="00E21ED0"/>
    <w:rsid w:val="00E30C9F"/>
    <w:rsid w:val="00E314D4"/>
    <w:rsid w:val="00E3179B"/>
    <w:rsid w:val="00E47C47"/>
    <w:rsid w:val="00E75FE4"/>
    <w:rsid w:val="00E84619"/>
    <w:rsid w:val="00E84E38"/>
    <w:rsid w:val="00E9087A"/>
    <w:rsid w:val="00EA1B85"/>
    <w:rsid w:val="00EA3999"/>
    <w:rsid w:val="00EA42D1"/>
    <w:rsid w:val="00EA763D"/>
    <w:rsid w:val="00EA7D46"/>
    <w:rsid w:val="00EB6A5C"/>
    <w:rsid w:val="00EB7A72"/>
    <w:rsid w:val="00ED6667"/>
    <w:rsid w:val="00ED747F"/>
    <w:rsid w:val="00EE3B36"/>
    <w:rsid w:val="00F07E69"/>
    <w:rsid w:val="00F2284D"/>
    <w:rsid w:val="00F30668"/>
    <w:rsid w:val="00F31C28"/>
    <w:rsid w:val="00F3248C"/>
    <w:rsid w:val="00F349D3"/>
    <w:rsid w:val="00F46207"/>
    <w:rsid w:val="00F76825"/>
    <w:rsid w:val="00F87469"/>
    <w:rsid w:val="00F91243"/>
    <w:rsid w:val="00FC4AEF"/>
    <w:rsid w:val="00FD10EB"/>
    <w:rsid w:val="00FD248B"/>
    <w:rsid w:val="00FD356A"/>
    <w:rsid w:val="0CD242DF"/>
    <w:rsid w:val="0EF6634E"/>
    <w:rsid w:val="11A16A45"/>
    <w:rsid w:val="1B19589E"/>
    <w:rsid w:val="1BD5051A"/>
    <w:rsid w:val="1FC247BF"/>
    <w:rsid w:val="211B39F2"/>
    <w:rsid w:val="22F42208"/>
    <w:rsid w:val="2DA52FC1"/>
    <w:rsid w:val="3A3577C2"/>
    <w:rsid w:val="3AD7144E"/>
    <w:rsid w:val="3B0654A8"/>
    <w:rsid w:val="47D32ABC"/>
    <w:rsid w:val="48CE7418"/>
    <w:rsid w:val="515E50B1"/>
    <w:rsid w:val="5D5418FE"/>
    <w:rsid w:val="61586245"/>
    <w:rsid w:val="617A768C"/>
    <w:rsid w:val="636724EC"/>
    <w:rsid w:val="6CDF1523"/>
    <w:rsid w:val="6DDD3AD6"/>
    <w:rsid w:val="7BA0326C"/>
    <w:rsid w:val="7E123328"/>
    <w:rsid w:val="7FED7036"/>
    <w:rsid w:val="DFFB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Date"/>
    <w:basedOn w:val="1"/>
    <w:next w:val="1"/>
    <w:link w:val="25"/>
    <w:semiHidden/>
    <w:unhideWhenUsed/>
    <w:uiPriority w:val="99"/>
    <w:pPr>
      <w:ind w:left="100" w:leftChars="250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2"/>
    <w:semiHidden/>
    <w:unhideWhenUsed/>
    <w:qFormat/>
    <w:uiPriority w:val="99"/>
    <w:rPr>
      <w:b/>
      <w:bCs/>
    </w:rPr>
  </w:style>
  <w:style w:type="character" w:styleId="10">
    <w:name w:val="Strong"/>
    <w:basedOn w:val="9"/>
    <w:qFormat/>
    <w:uiPriority w:val="22"/>
    <w:rPr>
      <w:b/>
      <w:bCs/>
    </w:rPr>
  </w:style>
  <w:style w:type="character" w:styleId="11">
    <w:name w:val="FollowedHyperlink"/>
    <w:basedOn w:val="9"/>
    <w:semiHidden/>
    <w:unhideWhenUsed/>
    <w:uiPriority w:val="99"/>
    <w:rPr>
      <w:color w:val="954F72" w:themeColor="followedHyperlink"/>
      <w:u w:val="single"/>
      <w14:textFill>
        <w14:solidFill>
          <w14:schemeClr w14:val="folHlink"/>
        </w14:solidFill>
      </w14:textFill>
    </w:rPr>
  </w:style>
  <w:style w:type="character" w:styleId="12">
    <w:name w:val="Emphasis"/>
    <w:basedOn w:val="9"/>
    <w:qFormat/>
    <w:uiPriority w:val="20"/>
    <w:rPr>
      <w:i/>
    </w:rPr>
  </w:style>
  <w:style w:type="character" w:styleId="13">
    <w:name w:val="Hyperlink"/>
    <w:basedOn w:val="9"/>
    <w:unhideWhenUsed/>
    <w:qFormat/>
    <w:uiPriority w:val="99"/>
    <w:rPr>
      <w:color w:val="0563C1" w:themeColor="hyperlink"/>
      <w:u w:val="single"/>
      <w14:textFill>
        <w14:solidFill>
          <w14:schemeClr w14:val="hlink"/>
        </w14:solidFill>
      </w14:textFill>
    </w:rPr>
  </w:style>
  <w:style w:type="character" w:styleId="14">
    <w:name w:val="annotation reference"/>
    <w:basedOn w:val="9"/>
    <w:semiHidden/>
    <w:unhideWhenUsed/>
    <w:qFormat/>
    <w:uiPriority w:val="99"/>
    <w:rPr>
      <w:sz w:val="21"/>
      <w:szCs w:val="21"/>
    </w:rPr>
  </w:style>
  <w:style w:type="character" w:customStyle="1" w:styleId="15">
    <w:name w:val="fontstyle01"/>
    <w:qFormat/>
    <w:uiPriority w:val="0"/>
    <w:rPr>
      <w:rFonts w:hint="default" w:ascii="MicrosoftYaHei" w:hAnsi="MicrosoftYaHei"/>
      <w:color w:val="404040"/>
      <w:sz w:val="22"/>
      <w:szCs w:val="22"/>
    </w:rPr>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9"/>
    <w:link w:val="2"/>
    <w:qFormat/>
    <w:uiPriority w:val="99"/>
  </w:style>
  <w:style w:type="character" w:customStyle="1" w:styleId="22">
    <w:name w:val="批注主题 字符"/>
    <w:basedOn w:val="21"/>
    <w:link w:val="7"/>
    <w:semiHidden/>
    <w:qFormat/>
    <w:uiPriority w:val="99"/>
    <w:rPr>
      <w:b/>
      <w:bCs/>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5">
    <w:name w:val="日期 字符"/>
    <w:basedOn w:val="9"/>
    <w:link w:val="3"/>
    <w:semiHidden/>
    <w:qFormat/>
    <w:uiPriority w:val="99"/>
    <w:rPr>
      <w:rFonts w:asciiTheme="minorHAnsi" w:hAnsiTheme="minorHAnsi" w:eastAsiaTheme="minorEastAsia" w:cstheme="minorBidi"/>
      <w:kern w:val="2"/>
      <w:sz w:val="21"/>
      <w:szCs w:val="22"/>
    </w:rPr>
  </w:style>
  <w:style w:type="character" w:customStyle="1" w:styleId="26">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E6F06-F79E-4105-8AA9-01063E87D8E6}">
  <ds:schemaRefs/>
</ds:datastoreItem>
</file>

<file path=docProps/app.xml><?xml version="1.0" encoding="utf-8"?>
<Properties xmlns="http://schemas.openxmlformats.org/officeDocument/2006/extended-properties" xmlns:vt="http://schemas.openxmlformats.org/officeDocument/2006/docPropsVTypes">
  <Template>Normal</Template>
  <Pages>10</Pages>
  <Words>2935</Words>
  <Characters>3058</Characters>
  <Lines>23</Lines>
  <Paragraphs>6</Paragraphs>
  <TotalTime>22</TotalTime>
  <ScaleCrop>false</ScaleCrop>
  <LinksUpToDate>false</LinksUpToDate>
  <CharactersWithSpaces>3091</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2024-12-11T15:46:00Z</dcterms:created>
  <dc:creator>Xiaochu</dc:creator>
  <cp:lastModifiedBy>Daydream</cp:lastModifiedBy>
  <cp:lastPrinted>2024-12-20T09:36:00Z</cp:lastPrinted>
  <dcterms:modified xsi:type="dcterms:W3CDTF">2025-06-03T15:14:34Z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A26AD91F00D4453A89BC9A8241476FDC_13</vt:lpwstr>
  </property>
</Properties>
</file>