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distribute"/>
        <w:rPr>
          <w:rFonts w:hint="eastAsia" w:ascii="Kaiti SC" w:hAnsi="Kaiti SC" w:eastAsia="Kaiti SC" w:cs="楷体"/>
          <w:b/>
          <w:bCs/>
          <w:color w:val="FF3300"/>
          <w:spacing w:val="-40"/>
          <w:sz w:val="96"/>
          <w:szCs w:val="96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color w:val="FF3300"/>
          <w:spacing w:val="-40"/>
          <w:sz w:val="84"/>
          <w:szCs w:val="84"/>
        </w:rPr>
      </w:pPr>
      <w:r>
        <w:rPr>
          <w:rFonts w:hint="eastAsia" w:ascii="宋体" w:hAnsi="宋体"/>
          <w:b/>
          <w:bCs/>
          <w:color w:val="FF3300"/>
          <w:spacing w:val="-40"/>
          <w:sz w:val="84"/>
          <w:szCs w:val="84"/>
        </w:rPr>
        <w:t>上海国家会计学院</w:t>
      </w:r>
    </w:p>
    <w:p>
      <w:pPr>
        <w:spacing w:line="360" w:lineRule="auto"/>
        <w:rPr>
          <w:rFonts w:hint="eastAsia" w:ascii="Songti SC" w:hAnsi="Songti SC" w:eastAsia="Songti SC"/>
          <w:b/>
          <w:bCs/>
          <w:sz w:val="11"/>
        </w:rPr>
      </w:pPr>
    </w:p>
    <w:p>
      <w:pPr>
        <w:spacing w:line="360" w:lineRule="auto"/>
        <w:jc w:val="center"/>
        <w:rPr>
          <w:rFonts w:hint="eastAsia" w:cs="微软雅黑" w:asciiTheme="minorEastAsia" w:hAnsiTheme="minorEastAsia"/>
          <w:bCs/>
          <w:sz w:val="32"/>
          <w:szCs w:val="32"/>
        </w:rPr>
      </w:pPr>
      <w:r>
        <w:rPr>
          <w:rFonts w:hint="eastAsia" w:cs="楷体" w:asciiTheme="minorEastAsia" w:hAnsiTheme="minorEastAsia"/>
          <w:bCs/>
          <w:sz w:val="32"/>
          <w:szCs w:val="32"/>
        </w:rPr>
        <w:t xml:space="preserve"> </w:t>
      </w:r>
      <w:r>
        <w:rPr>
          <w:rFonts w:hint="eastAsia" w:cs="微软雅黑" w:asciiTheme="minorEastAsia" w:hAnsiTheme="minorEastAsia"/>
          <w:bCs/>
          <w:sz w:val="32"/>
          <w:szCs w:val="32"/>
        </w:rPr>
        <w:t xml:space="preserve">  上国会培〔20</w:t>
      </w:r>
      <w:r>
        <w:rPr>
          <w:rFonts w:cs="微软雅黑" w:asciiTheme="minorEastAsia" w:hAnsiTheme="minorEastAsia"/>
          <w:bCs/>
          <w:sz w:val="32"/>
          <w:szCs w:val="32"/>
        </w:rPr>
        <w:t>2</w:t>
      </w:r>
      <w:r>
        <w:rPr>
          <w:rFonts w:hint="eastAsia" w:cs="微软雅黑" w:asciiTheme="minorEastAsia" w:hAnsiTheme="minorEastAsia"/>
          <w:bCs/>
          <w:sz w:val="32"/>
          <w:szCs w:val="32"/>
        </w:rPr>
        <w:t>5〕43号</w:t>
      </w:r>
    </w:p>
    <w:p>
      <w:pPr>
        <w:spacing w:line="360" w:lineRule="auto"/>
        <w:jc w:val="center"/>
        <w:rPr>
          <w:rFonts w:hint="eastAsia" w:ascii="仿宋_GB2312" w:hAnsi="楷体" w:eastAsia="仿宋_GB2312" w:cs="楷体"/>
          <w:b/>
          <w:bCs/>
          <w:sz w:val="20"/>
          <w:szCs w:val="18"/>
        </w:rPr>
      </w:pPr>
      <w:r>
        <w:rPr>
          <w:rFonts w:ascii="仿宋_GB2312" w:eastAsia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283210</wp:posOffset>
                </wp:positionV>
                <wp:extent cx="5461635" cy="13970"/>
                <wp:effectExtent l="19050" t="14605" r="15240" b="1905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61635" cy="139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flip:y;margin-left:-9.75pt;margin-top:22.3pt;height:1.1pt;width:430.05pt;z-index:251659264;mso-width-relative:page;mso-height-relative:page;" filled="f" stroked="t" coordsize="21600,21600" o:gfxdata="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G&#10;ElAC1QAAAAkBAAAPAAAAAAAAAAEAIAAAADgAAABkcnMvZG93bnJldi54bWxQSwECFAAUAAAACACH&#10;TuJAQDXRiNgBAACuAwAADgAAAAAAAAABACAAAAA6AQAAZHJzL2Uyb0RvYy54bWxQSwUGAAAAAAYA&#10;BgBZAQAAh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left="3080" w:right="-31" w:rightChars="-15" w:hanging="3080" w:hangingChars="1400"/>
        <w:rPr>
          <w:rFonts w:hint="eastAsia" w:ascii="仿宋_GB2312" w:hAnsi="微软雅黑" w:eastAsia="仿宋_GB2312" w:cs="微软雅黑"/>
          <w:sz w:val="10"/>
          <w:szCs w:val="10"/>
        </w:rPr>
      </w:pPr>
      <w:r>
        <w:rPr>
          <w:rFonts w:hint="eastAsia" w:ascii="仿宋_GB2312" w:hAnsi="微软雅黑" w:eastAsia="仿宋_GB2312" w:cs="微软雅黑"/>
          <w:sz w:val="22"/>
        </w:rPr>
        <w:t xml:space="preserve">  </w:t>
      </w:r>
    </w:p>
    <w:p>
      <w:pPr>
        <w:spacing w:line="360" w:lineRule="auto"/>
        <w:ind w:right="-31" w:rightChars="-15"/>
        <w:jc w:val="center"/>
        <w:rPr>
          <w:rFonts w:hint="eastAsia" w:ascii="宋体" w:hAnsi="宋体" w:eastAsia="宋体" w:cs="微软雅黑"/>
          <w:b/>
          <w:sz w:val="36"/>
          <w:szCs w:val="36"/>
        </w:rPr>
      </w:pPr>
      <w:r>
        <w:rPr>
          <w:rFonts w:hint="eastAsia" w:ascii="宋体" w:hAnsi="宋体" w:eastAsia="宋体" w:cs="微软雅黑"/>
          <w:b/>
          <w:sz w:val="36"/>
          <w:szCs w:val="36"/>
        </w:rPr>
        <w:t>关于举办“国有企业高级财务管理人员”研修班</w:t>
      </w:r>
    </w:p>
    <w:p>
      <w:pPr>
        <w:spacing w:line="360" w:lineRule="auto"/>
        <w:ind w:right="-31" w:rightChars="-15"/>
        <w:jc w:val="center"/>
        <w:rPr>
          <w:rFonts w:hint="eastAsia" w:ascii="宋体" w:hAnsi="宋体" w:eastAsia="宋体" w:cs="微软雅黑"/>
          <w:b/>
          <w:sz w:val="36"/>
          <w:szCs w:val="36"/>
        </w:rPr>
      </w:pPr>
      <w:r>
        <w:rPr>
          <w:rFonts w:hint="eastAsia" w:ascii="宋体" w:hAnsi="宋体" w:eastAsia="宋体" w:cs="微软雅黑"/>
          <w:b/>
          <w:sz w:val="36"/>
          <w:szCs w:val="36"/>
        </w:rPr>
        <w:t>的通知</w:t>
      </w:r>
    </w:p>
    <w:p>
      <w:pPr>
        <w:spacing w:line="360" w:lineRule="auto"/>
        <w:ind w:right="-31" w:rightChars="-15"/>
        <w:jc w:val="center"/>
        <w:rPr>
          <w:rFonts w:hint="eastAsia" w:ascii="宋体" w:hAnsi="宋体" w:eastAsia="宋体" w:cs="微软雅黑"/>
          <w:b/>
          <w:sz w:val="44"/>
          <w:szCs w:val="44"/>
        </w:rPr>
      </w:pPr>
    </w:p>
    <w:p>
      <w:pPr>
        <w:widowControl/>
        <w:spacing w:line="360" w:lineRule="auto"/>
        <w:jc w:val="left"/>
        <w:rPr>
          <w:rFonts w:hint="eastAsia"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各相关单位：</w:t>
      </w:r>
    </w:p>
    <w:p>
      <w:pPr>
        <w:widowControl/>
        <w:spacing w:line="360" w:lineRule="auto"/>
        <w:ind w:firstLine="640" w:firstLineChars="200"/>
        <w:rPr>
          <w:rFonts w:hint="eastAsia"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财务管理是企业管理的中心环节，是企业实现基业长青的重要基础和保障。根据</w:t>
      </w:r>
      <w:r>
        <w:rPr>
          <w:rFonts w:ascii="仿宋_GB2312" w:hAnsi="宋体" w:eastAsia="仿宋_GB2312" w:cs="微软雅黑"/>
          <w:sz w:val="32"/>
          <w:szCs w:val="32"/>
        </w:rPr>
        <w:t>《关于开展对标世界一流管理提升行动的通知》、《关于中央企业加快建设世界一流财务管理体系的指导意见》等一系列文件</w:t>
      </w:r>
      <w:r>
        <w:rPr>
          <w:rFonts w:hint="eastAsia" w:ascii="仿宋_GB2312" w:hAnsi="宋体" w:eastAsia="仿宋_GB2312" w:cs="微软雅黑"/>
          <w:sz w:val="32"/>
          <w:szCs w:val="32"/>
        </w:rPr>
        <w:t>的精神</w:t>
      </w:r>
      <w:r>
        <w:rPr>
          <w:rFonts w:ascii="仿宋_GB2312" w:hAnsi="宋体" w:eastAsia="仿宋_GB2312" w:cs="微软雅黑"/>
          <w:sz w:val="32"/>
          <w:szCs w:val="32"/>
        </w:rPr>
        <w:t>，国有企业财务管理</w:t>
      </w:r>
      <w:r>
        <w:rPr>
          <w:rFonts w:hint="eastAsia" w:ascii="仿宋_GB2312" w:hAnsi="宋体" w:eastAsia="仿宋_GB2312" w:cs="微软雅黑"/>
          <w:sz w:val="32"/>
          <w:szCs w:val="32"/>
        </w:rPr>
        <w:t>需要更加突出“支撑战略、支持决策、服务业务、创造价值、防控风险”等功能作用，以“规范、精益、集约、稳健、高效、智慧”为标准，加快构建世界一流财务管理体系。</w:t>
      </w:r>
    </w:p>
    <w:p>
      <w:pPr>
        <w:widowControl/>
        <w:spacing w:line="360" w:lineRule="auto"/>
        <w:ind w:firstLine="640" w:firstLineChars="200"/>
        <w:rPr>
          <w:rFonts w:hint="eastAsia"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有鉴于此，上海国家会计学院将创新开设</w:t>
      </w:r>
      <w:r>
        <w:rPr>
          <w:rFonts w:ascii="仿宋_GB2312" w:hAnsi="宋体" w:eastAsia="仿宋_GB2312" w:cs="微软雅黑"/>
          <w:sz w:val="32"/>
          <w:szCs w:val="32"/>
        </w:rPr>
        <w:t>“国有企业高级财务管理人员”研修班。</w:t>
      </w:r>
      <w:r>
        <w:rPr>
          <w:rFonts w:hint="eastAsia" w:ascii="仿宋_GB2312" w:hAnsi="宋体" w:eastAsia="仿宋_GB2312" w:cs="微软雅黑"/>
          <w:sz w:val="32"/>
          <w:szCs w:val="32"/>
        </w:rPr>
        <w:t>课程</w:t>
      </w:r>
      <w:r>
        <w:rPr>
          <w:rFonts w:ascii="仿宋_GB2312" w:hAnsi="宋体" w:eastAsia="仿宋_GB2312" w:cs="微软雅黑"/>
          <w:sz w:val="32"/>
          <w:szCs w:val="32"/>
        </w:rPr>
        <w:t>将通过</w:t>
      </w:r>
      <w:r>
        <w:rPr>
          <w:rFonts w:hint="eastAsia" w:ascii="仿宋_GB2312" w:hAnsi="宋体" w:eastAsia="仿宋_GB2312" w:cs="微软雅黑"/>
          <w:sz w:val="32"/>
          <w:szCs w:val="32"/>
        </w:rPr>
        <w:t>线上线下相结合、</w:t>
      </w:r>
      <w:r>
        <w:rPr>
          <w:rFonts w:ascii="仿宋_GB2312" w:hAnsi="宋体" w:eastAsia="仿宋_GB2312" w:cs="微软雅黑"/>
          <w:sz w:val="32"/>
          <w:szCs w:val="32"/>
        </w:rPr>
        <w:t>理论与实践相</w:t>
      </w:r>
      <w:r>
        <w:rPr>
          <w:rFonts w:hint="eastAsia" w:ascii="仿宋_GB2312" w:hAnsi="宋体" w:eastAsia="仿宋_GB2312" w:cs="微软雅黑"/>
          <w:sz w:val="32"/>
          <w:szCs w:val="32"/>
        </w:rPr>
        <w:t>融合</w:t>
      </w:r>
      <w:r>
        <w:rPr>
          <w:rFonts w:ascii="仿宋_GB2312" w:hAnsi="宋体" w:eastAsia="仿宋_GB2312" w:cs="微软雅黑"/>
          <w:sz w:val="32"/>
          <w:szCs w:val="32"/>
        </w:rPr>
        <w:t>的教学方式，</w:t>
      </w:r>
      <w:r>
        <w:rPr>
          <w:rFonts w:hint="eastAsia" w:ascii="仿宋_GB2312" w:hAnsi="宋体" w:eastAsia="仿宋_GB2312" w:cs="微软雅黑"/>
          <w:sz w:val="32"/>
          <w:szCs w:val="32"/>
        </w:rPr>
        <w:t>深入解读</w:t>
      </w:r>
      <w:r>
        <w:rPr>
          <w:rFonts w:ascii="仿宋_GB2312" w:hAnsi="宋体" w:eastAsia="仿宋_GB2312" w:cs="微软雅黑"/>
          <w:sz w:val="32"/>
          <w:szCs w:val="32"/>
        </w:rPr>
        <w:t>新形势下国有企业所面临的机遇</w:t>
      </w:r>
      <w:r>
        <w:rPr>
          <w:rFonts w:hint="eastAsia" w:ascii="仿宋_GB2312" w:hAnsi="宋体" w:eastAsia="仿宋_GB2312" w:cs="微软雅黑"/>
          <w:sz w:val="32"/>
          <w:szCs w:val="32"/>
        </w:rPr>
        <w:t>、挑战与应对策略，旨在</w:t>
      </w:r>
      <w:r>
        <w:rPr>
          <w:rFonts w:ascii="仿宋_GB2312" w:hAnsi="宋体" w:eastAsia="仿宋_GB2312" w:cs="微软雅黑"/>
          <w:sz w:val="32"/>
          <w:szCs w:val="32"/>
        </w:rPr>
        <w:t>培养具有</w:t>
      </w:r>
      <w:r>
        <w:rPr>
          <w:rFonts w:hint="eastAsia" w:ascii="仿宋_GB2312" w:hAnsi="宋体" w:eastAsia="仿宋_GB2312" w:cs="微软雅黑"/>
          <w:sz w:val="32"/>
          <w:szCs w:val="32"/>
        </w:rPr>
        <w:t>“科学思维能力、创新提效能力、风险管控能力、统筹协调能力、国际经营能力”</w:t>
      </w:r>
      <w:r>
        <w:rPr>
          <w:rFonts w:ascii="仿宋_GB2312" w:hAnsi="宋体" w:eastAsia="仿宋_GB2312" w:cs="微软雅黑"/>
          <w:sz w:val="32"/>
          <w:szCs w:val="32"/>
        </w:rPr>
        <w:t>的</w:t>
      </w:r>
      <w:r>
        <w:rPr>
          <w:rFonts w:hint="eastAsia" w:ascii="仿宋_GB2312" w:hAnsi="宋体" w:eastAsia="仿宋_GB2312" w:cs="微软雅黑"/>
          <w:sz w:val="32"/>
          <w:szCs w:val="32"/>
        </w:rPr>
        <w:t>复合型</w:t>
      </w:r>
      <w:r>
        <w:rPr>
          <w:rFonts w:ascii="仿宋_GB2312" w:hAnsi="宋体" w:eastAsia="仿宋_GB2312" w:cs="微软雅黑"/>
          <w:sz w:val="32"/>
          <w:szCs w:val="32"/>
        </w:rPr>
        <w:t>高级财务管理人才</w:t>
      </w:r>
      <w:r>
        <w:rPr>
          <w:rFonts w:hint="eastAsia" w:ascii="仿宋_GB2312" w:hAnsi="宋体" w:eastAsia="仿宋_GB2312" w:cs="微软雅黑"/>
          <w:sz w:val="32"/>
          <w:szCs w:val="32"/>
        </w:rPr>
        <w:t>。</w:t>
      </w:r>
    </w:p>
    <w:p>
      <w:pPr>
        <w:widowControl/>
        <w:spacing w:line="360" w:lineRule="auto"/>
        <w:rPr>
          <w:rFonts w:hint="eastAsia"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 xml:space="preserve">    学院</w:t>
      </w:r>
      <w:r>
        <w:rPr>
          <w:rFonts w:ascii="仿宋_GB2312" w:hAnsi="宋体" w:eastAsia="仿宋_GB2312" w:cs="微软雅黑"/>
          <w:sz w:val="32"/>
          <w:szCs w:val="32"/>
        </w:rPr>
        <w:t>将邀请</w:t>
      </w:r>
      <w:r>
        <w:rPr>
          <w:rFonts w:hint="eastAsia" w:ascii="仿宋_GB2312" w:hAnsi="宋体" w:eastAsia="仿宋_GB2312" w:cs="微软雅黑"/>
          <w:sz w:val="32"/>
          <w:szCs w:val="32"/>
        </w:rPr>
        <w:t>知名</w:t>
      </w:r>
      <w:r>
        <w:rPr>
          <w:rFonts w:ascii="仿宋_GB2312" w:hAnsi="宋体" w:eastAsia="仿宋_GB2312" w:cs="微软雅黑"/>
          <w:sz w:val="32"/>
          <w:szCs w:val="32"/>
        </w:rPr>
        <w:t>学者</w:t>
      </w:r>
      <w:r>
        <w:rPr>
          <w:rFonts w:hint="eastAsia" w:ascii="仿宋_GB2312" w:hAnsi="宋体" w:eastAsia="仿宋_GB2312" w:cs="微软雅黑"/>
          <w:sz w:val="32"/>
          <w:szCs w:val="32"/>
        </w:rPr>
        <w:t>和行业</w:t>
      </w:r>
      <w:r>
        <w:rPr>
          <w:rFonts w:ascii="仿宋_GB2312" w:hAnsi="宋体" w:eastAsia="仿宋_GB2312" w:cs="微软雅黑"/>
          <w:sz w:val="32"/>
          <w:szCs w:val="32"/>
        </w:rPr>
        <w:t>资深专家进行授课，</w:t>
      </w:r>
      <w:r>
        <w:rPr>
          <w:rFonts w:hint="eastAsia" w:ascii="仿宋_GB2312" w:hAnsi="宋体" w:eastAsia="仿宋_GB2312" w:cs="微软雅黑"/>
          <w:sz w:val="32"/>
          <w:szCs w:val="32"/>
        </w:rPr>
        <w:t>结合标杆企业案例，聚焦国有资本运作</w:t>
      </w:r>
      <w:r>
        <w:rPr>
          <w:rFonts w:ascii="仿宋_GB2312" w:hAnsi="宋体" w:eastAsia="仿宋_GB2312" w:cs="微软雅黑"/>
          <w:sz w:val="32"/>
          <w:szCs w:val="32"/>
        </w:rPr>
        <w:t>、</w:t>
      </w:r>
      <w:r>
        <w:rPr>
          <w:rFonts w:hint="eastAsia" w:ascii="仿宋_GB2312" w:hAnsi="宋体" w:eastAsia="仿宋_GB2312" w:cs="微软雅黑"/>
          <w:sz w:val="32"/>
          <w:szCs w:val="32"/>
        </w:rPr>
        <w:t>国企</w:t>
      </w:r>
      <w:r>
        <w:rPr>
          <w:rFonts w:ascii="仿宋_GB2312" w:hAnsi="宋体" w:eastAsia="仿宋_GB2312" w:cs="微软雅黑"/>
          <w:sz w:val="32"/>
          <w:szCs w:val="32"/>
        </w:rPr>
        <w:t>税务合规、内部控制</w:t>
      </w:r>
      <w:r>
        <w:rPr>
          <w:rFonts w:hint="eastAsia" w:ascii="仿宋_GB2312" w:hAnsi="宋体" w:eastAsia="仿宋_GB2312" w:cs="微软雅黑"/>
          <w:sz w:val="32"/>
          <w:szCs w:val="32"/>
        </w:rPr>
        <w:t>、</w:t>
      </w:r>
      <w:r>
        <w:rPr>
          <w:rFonts w:ascii="仿宋_GB2312" w:hAnsi="宋体" w:eastAsia="仿宋_GB2312" w:cs="微软雅黑"/>
          <w:sz w:val="32"/>
          <w:szCs w:val="32"/>
        </w:rPr>
        <w:t>业财融合</w:t>
      </w:r>
      <w:r>
        <w:rPr>
          <w:rFonts w:hint="eastAsia" w:ascii="仿宋_GB2312" w:hAnsi="宋体" w:eastAsia="仿宋_GB2312" w:cs="微软雅黑"/>
          <w:sz w:val="32"/>
          <w:szCs w:val="32"/>
        </w:rPr>
        <w:t>、</w:t>
      </w:r>
      <w:r>
        <w:rPr>
          <w:rFonts w:ascii="仿宋_GB2312" w:hAnsi="宋体" w:eastAsia="仿宋_GB2312" w:cs="微软雅黑"/>
          <w:sz w:val="32"/>
          <w:szCs w:val="32"/>
        </w:rPr>
        <w:t>数智化建设</w:t>
      </w:r>
      <w:r>
        <w:rPr>
          <w:rFonts w:hint="eastAsia" w:ascii="仿宋_GB2312" w:hAnsi="宋体" w:eastAsia="仿宋_GB2312" w:cs="微软雅黑"/>
          <w:sz w:val="32"/>
          <w:szCs w:val="32"/>
        </w:rPr>
        <w:t>及</w:t>
      </w:r>
      <w:r>
        <w:rPr>
          <w:rFonts w:ascii="仿宋_GB2312" w:hAnsi="宋体" w:eastAsia="仿宋_GB2312" w:cs="微软雅黑"/>
          <w:sz w:val="32"/>
          <w:szCs w:val="32"/>
        </w:rPr>
        <w:t>数据资产管理等关键</w:t>
      </w:r>
      <w:r>
        <w:rPr>
          <w:rFonts w:hint="eastAsia" w:ascii="仿宋_GB2312" w:hAnsi="宋体" w:eastAsia="仿宋_GB2312" w:cs="微软雅黑"/>
          <w:sz w:val="32"/>
          <w:szCs w:val="32"/>
        </w:rPr>
        <w:t>前沿</w:t>
      </w:r>
      <w:r>
        <w:rPr>
          <w:rFonts w:ascii="仿宋_GB2312" w:hAnsi="宋体" w:eastAsia="仿宋_GB2312" w:cs="微软雅黑"/>
          <w:sz w:val="32"/>
          <w:szCs w:val="32"/>
        </w:rPr>
        <w:t>领域，</w:t>
      </w:r>
      <w:r>
        <w:rPr>
          <w:rFonts w:hint="eastAsia" w:ascii="仿宋_GB2312" w:hAnsi="宋体" w:eastAsia="仿宋_GB2312" w:cs="微软雅黑"/>
          <w:sz w:val="32"/>
          <w:szCs w:val="32"/>
        </w:rPr>
        <w:t>帮助学员更</w:t>
      </w:r>
      <w:r>
        <w:rPr>
          <w:rFonts w:ascii="仿宋_GB2312" w:hAnsi="宋体" w:eastAsia="仿宋_GB2312" w:cs="微软雅黑"/>
          <w:sz w:val="32"/>
          <w:szCs w:val="32"/>
        </w:rPr>
        <w:t>好地理解财务管理核心价值，掌握</w:t>
      </w:r>
      <w:r>
        <w:rPr>
          <w:rFonts w:hint="eastAsia" w:ascii="仿宋_GB2312" w:hAnsi="宋体" w:eastAsia="仿宋_GB2312" w:cs="微软雅黑"/>
          <w:sz w:val="32"/>
          <w:szCs w:val="32"/>
        </w:rPr>
        <w:t>先进</w:t>
      </w:r>
      <w:r>
        <w:rPr>
          <w:rFonts w:ascii="仿宋_GB2312" w:hAnsi="宋体" w:eastAsia="仿宋_GB2312" w:cs="微软雅黑"/>
          <w:sz w:val="32"/>
          <w:szCs w:val="32"/>
        </w:rPr>
        <w:t>管理</w:t>
      </w:r>
      <w:r>
        <w:rPr>
          <w:rFonts w:hint="eastAsia" w:ascii="仿宋_GB2312" w:hAnsi="宋体" w:eastAsia="仿宋_GB2312" w:cs="微软雅黑"/>
          <w:sz w:val="32"/>
          <w:szCs w:val="32"/>
        </w:rPr>
        <w:t>技能</w:t>
      </w:r>
      <w:r>
        <w:rPr>
          <w:rFonts w:ascii="仿宋_GB2312" w:hAnsi="宋体" w:eastAsia="仿宋_GB2312" w:cs="微软雅黑"/>
          <w:sz w:val="32"/>
          <w:szCs w:val="32"/>
        </w:rPr>
        <w:t>，</w:t>
      </w:r>
      <w:r>
        <w:rPr>
          <w:rFonts w:hint="eastAsia" w:ascii="仿宋_GB2312" w:hAnsi="宋体" w:eastAsia="仿宋_GB2312" w:cs="微软雅黑"/>
          <w:sz w:val="32"/>
          <w:szCs w:val="32"/>
        </w:rPr>
        <w:t>优化财务资源配置，助力</w:t>
      </w:r>
      <w:r>
        <w:rPr>
          <w:rFonts w:ascii="仿宋_GB2312" w:hAnsi="宋体" w:eastAsia="仿宋_GB2312" w:cs="微软雅黑"/>
          <w:sz w:val="32"/>
          <w:szCs w:val="32"/>
        </w:rPr>
        <w:t>国有企业持续健康发展。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附件：一、课程简介</w:t>
      </w:r>
    </w:p>
    <w:p>
      <w:pPr>
        <w:widowControl/>
        <w:spacing w:line="360" w:lineRule="auto"/>
        <w:ind w:firstLine="1600" w:firstLineChars="500"/>
        <w:jc w:val="left"/>
        <w:rPr>
          <w:rFonts w:hint="eastAsia"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二、报名回执表</w:t>
      </w:r>
    </w:p>
    <w:p>
      <w:pPr>
        <w:widowControl/>
        <w:spacing w:line="360" w:lineRule="auto"/>
        <w:ind w:firstLine="1600" w:firstLineChars="500"/>
        <w:jc w:val="left"/>
        <w:rPr>
          <w:rFonts w:hint="eastAsia" w:ascii="仿宋_GB2312" w:hAnsi="宋体" w:eastAsia="仿宋_GB2312" w:cs="微软雅黑"/>
          <w:sz w:val="32"/>
          <w:szCs w:val="32"/>
        </w:rPr>
      </w:pPr>
    </w:p>
    <w:p>
      <w:pPr>
        <w:spacing w:line="360" w:lineRule="auto"/>
        <w:jc w:val="right"/>
        <w:rPr>
          <w:rFonts w:hint="eastAsia"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上海国家会计学院</w:t>
      </w:r>
    </w:p>
    <w:p>
      <w:pPr>
        <w:spacing w:line="360" w:lineRule="auto"/>
        <w:jc w:val="right"/>
        <w:rPr>
          <w:rFonts w:hint="eastAsia"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教务二部</w:t>
      </w:r>
    </w:p>
    <w:p>
      <w:pPr>
        <w:spacing w:line="360" w:lineRule="auto"/>
        <w:jc w:val="right"/>
        <w:rPr>
          <w:rFonts w:hint="eastAsia" w:ascii="仿宋_GB2312" w:hAnsi="宋体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微软雅黑"/>
          <w:sz w:val="32"/>
          <w:szCs w:val="32"/>
        </w:rPr>
        <w:t>2025年1月</w:t>
      </w:r>
    </w:p>
    <w:p>
      <w:pPr>
        <w:spacing w:line="360" w:lineRule="auto"/>
        <w:rPr>
          <w:rFonts w:hint="eastAsia" w:ascii="黑体" w:hAnsi="黑体" w:eastAsia="黑体" w:cs="微软雅黑"/>
          <w:b/>
          <w:bCs/>
          <w:kern w:val="0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微软雅黑"/>
          <w:b/>
          <w:bCs/>
          <w:kern w:val="0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微软雅黑"/>
          <w:b/>
          <w:bCs/>
          <w:kern w:val="0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微软雅黑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微软雅黑"/>
          <w:b/>
          <w:bCs/>
          <w:kern w:val="0"/>
          <w:sz w:val="32"/>
          <w:szCs w:val="32"/>
        </w:rPr>
        <w:t>附件一：课程简介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培训安排</w:t>
      </w:r>
    </w:p>
    <w:tbl>
      <w:tblPr>
        <w:tblStyle w:val="9"/>
        <w:tblW w:w="11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410"/>
        <w:gridCol w:w="1701"/>
        <w:gridCol w:w="1701"/>
        <w:gridCol w:w="1701"/>
        <w:gridCol w:w="2839"/>
      </w:tblGrid>
      <w:tr>
        <w:trPr>
          <w:jc w:val="center"/>
        </w:trPr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期数</w:t>
            </w: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培训时间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培训时长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授课形式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报到时间</w:t>
            </w:r>
          </w:p>
        </w:tc>
        <w:tc>
          <w:tcPr>
            <w:tcW w:w="2839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培训地点</w:t>
            </w:r>
          </w:p>
        </w:tc>
      </w:tr>
      <w:tr>
        <w:trPr>
          <w:trHeight w:val="888" w:hRule="atLeast"/>
          <w:jc w:val="center"/>
        </w:trPr>
        <w:tc>
          <w:tcPr>
            <w:tcW w:w="1271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第1期</w:t>
            </w: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5月14-16日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3.5天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线下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13日全天</w:t>
            </w:r>
          </w:p>
        </w:tc>
        <w:tc>
          <w:tcPr>
            <w:tcW w:w="2839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上海国家会计学院</w:t>
            </w:r>
          </w:p>
        </w:tc>
      </w:tr>
      <w:tr>
        <w:trPr>
          <w:trHeight w:val="830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5月24-25日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2天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线上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/</w:t>
            </w:r>
          </w:p>
        </w:tc>
        <w:tc>
          <w:tcPr>
            <w:tcW w:w="2839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腾讯会议</w:t>
            </w:r>
          </w:p>
        </w:tc>
      </w:tr>
      <w:tr>
        <w:trPr>
          <w:trHeight w:val="857" w:hRule="atLeast"/>
          <w:jc w:val="center"/>
        </w:trPr>
        <w:tc>
          <w:tcPr>
            <w:tcW w:w="1271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第2期</w:t>
            </w: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10月23-25日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3.5天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线下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22日全天</w:t>
            </w:r>
          </w:p>
        </w:tc>
        <w:tc>
          <w:tcPr>
            <w:tcW w:w="2839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上海院外</w:t>
            </w:r>
          </w:p>
        </w:tc>
      </w:tr>
      <w:tr>
        <w:trPr>
          <w:trHeight w:val="827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11月1-2日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2天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线上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/</w:t>
            </w:r>
          </w:p>
        </w:tc>
        <w:tc>
          <w:tcPr>
            <w:tcW w:w="2839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腾讯会议</w:t>
            </w:r>
          </w:p>
        </w:tc>
      </w:tr>
    </w:tbl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课程目标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</w:t>
      </w:r>
      <w:r>
        <w:rPr>
          <w:rFonts w:ascii="仿宋_GB2312" w:hAnsi="宋体" w:eastAsia="仿宋_GB2312"/>
          <w:sz w:val="32"/>
          <w:szCs w:val="32"/>
        </w:rPr>
        <w:t>掌握</w:t>
      </w:r>
      <w:r>
        <w:rPr>
          <w:rFonts w:hint="eastAsia" w:ascii="仿宋_GB2312" w:hAnsi="宋体" w:eastAsia="仿宋_GB2312"/>
          <w:sz w:val="32"/>
          <w:szCs w:val="32"/>
        </w:rPr>
        <w:t>先进</w:t>
      </w:r>
      <w:r>
        <w:rPr>
          <w:rFonts w:ascii="仿宋_GB2312" w:hAnsi="宋体" w:eastAsia="仿宋_GB2312"/>
          <w:sz w:val="32"/>
          <w:szCs w:val="32"/>
        </w:rPr>
        <w:t>财务管理理念和工具，提高国有资本运营和投融资</w:t>
      </w:r>
      <w:r>
        <w:rPr>
          <w:rFonts w:hint="eastAsia" w:ascii="仿宋_GB2312" w:hAnsi="宋体" w:eastAsia="仿宋_GB2312"/>
          <w:sz w:val="32"/>
          <w:szCs w:val="32"/>
        </w:rPr>
        <w:t>能力；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2.提高在</w:t>
      </w:r>
      <w:r>
        <w:rPr>
          <w:rFonts w:ascii="仿宋_GB2312" w:hAnsi="宋体" w:eastAsia="仿宋_GB2312"/>
          <w:sz w:val="32"/>
          <w:szCs w:val="32"/>
        </w:rPr>
        <w:t>数字化、智能化背景下的财务管理和决策能力，推动企业转型升级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</w:t>
      </w:r>
      <w:r>
        <w:rPr>
          <w:rFonts w:ascii="仿宋_GB2312" w:hAnsi="宋体" w:eastAsia="仿宋_GB2312"/>
          <w:sz w:val="32"/>
          <w:szCs w:val="32"/>
        </w:rPr>
        <w:t>掌握数据资源的会计处理</w:t>
      </w:r>
      <w:r>
        <w:rPr>
          <w:rFonts w:hint="eastAsia" w:ascii="仿宋_GB2312" w:hAnsi="宋体" w:eastAsia="仿宋_GB2312"/>
          <w:sz w:val="32"/>
          <w:szCs w:val="32"/>
        </w:rPr>
        <w:t>，深刻理解其</w:t>
      </w:r>
      <w:r>
        <w:rPr>
          <w:rFonts w:ascii="仿宋_GB2312" w:hAnsi="宋体" w:eastAsia="仿宋_GB2312"/>
          <w:sz w:val="32"/>
          <w:szCs w:val="32"/>
        </w:rPr>
        <w:t>商业模式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</w:t>
      </w:r>
      <w:r>
        <w:rPr>
          <w:rFonts w:ascii="仿宋_GB2312" w:hAnsi="宋体" w:eastAsia="仿宋_GB2312"/>
          <w:sz w:val="32"/>
          <w:szCs w:val="32"/>
        </w:rPr>
        <w:t>充分理解税务法规，提高税务合规性，降低企业运营风险</w:t>
      </w:r>
      <w:r>
        <w:rPr>
          <w:rFonts w:hint="eastAsia" w:ascii="仿宋_GB2312" w:hAnsi="宋体" w:eastAsia="仿宋_GB2312"/>
          <w:sz w:val="32"/>
          <w:szCs w:val="32"/>
        </w:rPr>
        <w:t xml:space="preserve">； 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</w:t>
      </w:r>
      <w:r>
        <w:rPr>
          <w:rFonts w:ascii="仿宋_GB2312" w:hAnsi="宋体" w:eastAsia="仿宋_GB2312"/>
          <w:sz w:val="32"/>
          <w:szCs w:val="32"/>
        </w:rPr>
        <w:t>加强</w:t>
      </w:r>
      <w:r>
        <w:rPr>
          <w:rFonts w:hint="eastAsia" w:ascii="仿宋_GB2312" w:hAnsi="宋体" w:eastAsia="仿宋_GB2312"/>
          <w:sz w:val="32"/>
          <w:szCs w:val="32"/>
        </w:rPr>
        <w:t>业财</w:t>
      </w:r>
      <w:r>
        <w:rPr>
          <w:rFonts w:ascii="仿宋_GB2312" w:hAnsi="宋体" w:eastAsia="仿宋_GB2312"/>
          <w:sz w:val="32"/>
          <w:szCs w:val="32"/>
        </w:rPr>
        <w:t>深度融合，构建有效的内部控制体系，保障企业稳健发展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360" w:lineRule="auto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三、培训对象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国有企业高级财务管理人员，包括但不限于总会计师、财务总监、高级财务经理等。</w:t>
      </w:r>
    </w:p>
    <w:p>
      <w:pPr>
        <w:spacing w:line="360" w:lineRule="auto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四、课程内容</w:t>
      </w:r>
    </w:p>
    <w:p>
      <w:pPr>
        <w:spacing w:line="360" w:lineRule="auto"/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（一）国有企业的资本运作与投融资模式（</w:t>
      </w:r>
      <w:r>
        <w:rPr>
          <w:rFonts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天）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1.企业资本运作的内涵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2.国有企业资本运作的政策背景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3.国有企业资本运作与经济周期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4.国有企业资本运作与股权投资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5.国有企业资本运作与多层次资本市场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6.国有企业资本运作与市值管理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7.国有企业资本运作与产融结合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8.国有企业资本运作与资产证券化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9.国有企业资本运作实战案例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10.国有企业资本运作的风险管理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人工智能大模型与DeepSeek赋能财务数智化转型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（一）人工智能大模型与DeepSeek介绍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1.人工智能的发展历程与趋势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2.当前典型人工智能大模型优劣对比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3.DeepSeek的基本原理解读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4.DeepSeek的部署方案分析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5.DeepSeek的可用终端优劣对比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 DeepSeek的通用使用技巧体验</w:t>
      </w:r>
    </w:p>
    <w:p>
      <w:pPr>
        <w:spacing w:line="360" w:lineRule="auto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（二）人工智能大模型与DeepSeek在财务领域的运用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1.智能财务的发展进程与发展趋势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2.智能财务的建设思路与典型案例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3.人工智能大模型在财务领域的典型应用场景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4.DeepSeek在财务领域的典型应用体验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5.DeepSeek在财务领域的典型应用方案分析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6.DeepSeek在财务领域应用的合规要点</w:t>
      </w:r>
    </w:p>
    <w:p>
      <w:pPr>
        <w:spacing w:line="360" w:lineRule="auto"/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（三）国有企业税收风险和合规应对（</w:t>
      </w:r>
      <w:r>
        <w:rPr>
          <w:rFonts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天）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1.国有企业税收合规的背景、逻辑与现实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（1）宏观经济形势与财税政策要求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（2）加强税收征管的典型实践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（3）金税四期智慧税务的影响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2.国有企业税收合规：应享尽享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--税收优惠政策与合规享受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3.国有企业税收合规：应缴尽缴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--并购重组、关联交易、国企生产经营的税收风险防范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4.“二十届三中全会”税制改革的影响与应对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--增值税、消费税、企业所得税、个人所得税等改革的影响与应对</w:t>
      </w:r>
    </w:p>
    <w:p>
      <w:pPr>
        <w:spacing w:line="360" w:lineRule="auto"/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数据资产</w:t>
      </w:r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管理（0.5天）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1.数据价值发现与企业数据资产化</w:t>
      </w:r>
    </w:p>
    <w:p>
      <w:pPr>
        <w:pStyle w:val="7"/>
        <w:shd w:val="clear" w:color="auto" w:fill="FFFFFF"/>
        <w:spacing w:before="0" w:beforeAutospacing="0" w:after="0" w:afterAutospacing="0"/>
        <w:textAlignment w:val="center"/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（1）数据资产化展望</w:t>
      </w:r>
    </w:p>
    <w:p>
      <w:pPr>
        <w:pStyle w:val="7"/>
        <w:shd w:val="clear" w:color="auto" w:fill="FFFFFF"/>
        <w:spacing w:before="0" w:beforeAutospacing="0" w:after="0" w:afterAutospacing="0"/>
        <w:textAlignment w:val="center"/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（2）数据资产相关政策解读</w:t>
      </w:r>
    </w:p>
    <w:p>
      <w:pPr>
        <w:pStyle w:val="7"/>
        <w:shd w:val="clear" w:color="auto" w:fill="FFFFFF"/>
        <w:spacing w:before="0" w:beforeAutospacing="0" w:after="0" w:afterAutospacing="0"/>
        <w:textAlignment w:val="center"/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（3）数据资产化路径</w:t>
      </w:r>
    </w:p>
    <w:p>
      <w:pPr>
        <w:pStyle w:val="7"/>
        <w:shd w:val="clear" w:color="auto" w:fill="FFFFFF"/>
        <w:spacing w:before="0" w:beforeAutospacing="0" w:after="0" w:afterAutospacing="0"/>
        <w:textAlignment w:val="center"/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（4）数据资产的商业模式及应用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2.数据资源的会计处理、入表及典型案例</w:t>
      </w:r>
    </w:p>
    <w:p>
      <w:pPr>
        <w:pStyle w:val="7"/>
        <w:shd w:val="clear" w:color="auto" w:fill="FFFFFF"/>
        <w:spacing w:before="0" w:beforeAutospacing="0" w:after="0" w:afterAutospacing="0"/>
        <w:textAlignment w:val="center"/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（1）适用范围</w:t>
      </w:r>
    </w:p>
    <w:p>
      <w:pPr>
        <w:pStyle w:val="7"/>
        <w:shd w:val="clear" w:color="auto" w:fill="FFFFFF"/>
        <w:spacing w:before="0" w:beforeAutospacing="0" w:after="0" w:afterAutospacing="0"/>
        <w:textAlignment w:val="center"/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（2）数据资产作为无形资产的确认和计量、披露</w:t>
      </w:r>
    </w:p>
    <w:p>
      <w:pPr>
        <w:pStyle w:val="7"/>
        <w:shd w:val="clear" w:color="auto" w:fill="FFFFFF"/>
        <w:spacing w:before="0" w:beforeAutospacing="0" w:after="0" w:afterAutospacing="0"/>
        <w:textAlignment w:val="center"/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（3）数据资产作为存货的确认和计量、披露</w:t>
      </w:r>
    </w:p>
    <w:p>
      <w:pPr>
        <w:pStyle w:val="7"/>
        <w:shd w:val="clear" w:color="auto" w:fill="FFFFFF"/>
        <w:spacing w:before="0" w:beforeAutospacing="0" w:after="0" w:afterAutospacing="0"/>
        <w:textAlignment w:val="center"/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（4）相关案例</w:t>
      </w:r>
    </w:p>
    <w:p>
      <w:pPr>
        <w:pStyle w:val="7"/>
        <w:shd w:val="clear" w:color="auto" w:fill="FFFFFF"/>
        <w:spacing w:before="0" w:beforeAutospacing="0" w:after="0" w:afterAutospacing="0"/>
        <w:textAlignment w:val="center"/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（5）重点和难点</w:t>
      </w:r>
    </w:p>
    <w:p>
      <w:pPr>
        <w:spacing w:line="360" w:lineRule="auto"/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</w:t>
      </w:r>
      <w:r>
        <w:rPr>
          <w:rFonts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业财融合</w:t>
      </w:r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（线上，1天）</w:t>
      </w:r>
    </w:p>
    <w:p>
      <w:pPr>
        <w:spacing w:line="360" w:lineRule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1.华为的财经变革历程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2.华为业财融合之旅-IFS变革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3.华为业财融合的组织设计和能力要求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4.华为经营分析与问题解决实践</w:t>
      </w:r>
    </w:p>
    <w:p>
      <w:pPr>
        <w:spacing w:line="360" w:lineRule="auto"/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（六）国有企业内部控制（线上，1天）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1.国企内部控制转型升级背景与方向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2.“三位一体”大风控体系建设思路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3.“三位一体”大风控体系建设案例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4.投资、采购、合同等业务的风险控制</w:t>
      </w:r>
    </w:p>
    <w:p>
      <w:pPr>
        <w:spacing w:line="360" w:lineRule="auto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五、拟邀师资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葛老师：上海国家会计学院副教授，应用经济系主任，曾挂职于财政部条法司，全国税务系统领军人才。亚利桑那州立大学凯瑞商学院访问学者。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李老师：上海国家会计学院副教授，硕士研究生导师，上海财经大学管理学（会计学专业）博士，美国加州大学伯克利分校、英国爱丁堡龙比亚大学访问学者，入选财政部首批国际化高端会计人才培养工程。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刘老师:上海国家会计学院副教授。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智能财务研究院智能财务数据标准与XBRL研究室（中心）主任，多家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上市公司独立董事。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周老师：上海国家会计学院国有资本运营研究中心主任，金融系博士。曾任加拿大阿尔伯特大学访问学者。长期从事公司金融、金融市场和国际金融等方面的研究，多家上市公司独立董事。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池老师：南京审计大学教授、风险管理与内部控制研究院院长，兼任中国会计学会内部控制专业委员会委员、江苏省内部审计协会副会长，曾任财政部内部控制标准委员会第二届至第五届咨询专家、中国内部控制研究中心常务副主任、中国内审协会内部审计学院首任院长。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雷老师：12年华为公司财务及经营管理经验，预算管理五级专家，企业经营管理与财经数字化顾问。曾在华为区域财经、财经变革、集团财经经营管理部任职。辅导多家公司全面预算变革项目、业财融合变革项目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及其他资深实务专家。</w:t>
      </w:r>
    </w:p>
    <w:p>
      <w:pPr>
        <w:spacing w:line="360" w:lineRule="auto"/>
        <w:rPr>
          <w:rFonts w:hint="eastAsia" w:ascii="仿宋_GB2312" w:hAnsi="等线" w:eastAsia="仿宋_GB2312"/>
          <w:b/>
          <w:color w:val="000000"/>
          <w:sz w:val="32"/>
          <w:szCs w:val="32"/>
        </w:rPr>
      </w:pPr>
      <w:r>
        <w:rPr>
          <w:rFonts w:hint="eastAsia" w:ascii="仿宋_GB2312" w:hAnsi="等线" w:eastAsia="仿宋_GB2312"/>
          <w:b/>
          <w:color w:val="000000"/>
          <w:sz w:val="32"/>
          <w:szCs w:val="32"/>
        </w:rPr>
        <w:t>六、学员评价</w:t>
      </w:r>
    </w:p>
    <w:p>
      <w:pPr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课程很精彩，几位老师都分享了许多实务经验，收获颇丰。</w:t>
      </w:r>
    </w:p>
    <w:p>
      <w:pPr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等线" w:eastAsia="仿宋_GB2312"/>
          <w:bCs/>
          <w:color w:val="000000"/>
          <w:sz w:val="32"/>
          <w:szCs w:val="32"/>
        </w:rPr>
        <w:t>——徐同学 某国有</w:t>
      </w:r>
      <w:r>
        <w:rPr>
          <w:rFonts w:hint="eastAsia" w:ascii="仿宋_GB2312" w:hAnsi="仿宋_GB2312" w:eastAsia="仿宋_GB2312"/>
          <w:sz w:val="32"/>
          <w:szCs w:val="32"/>
        </w:rPr>
        <w:t>控股集团有限公司高级</w:t>
      </w:r>
      <w:r>
        <w:rPr>
          <w:rFonts w:hint="eastAsia" w:ascii="仿宋_GB2312" w:hAnsi="等线" w:eastAsia="仿宋_GB2312"/>
          <w:bCs/>
          <w:color w:val="000000"/>
          <w:sz w:val="32"/>
          <w:szCs w:val="32"/>
        </w:rPr>
        <w:t>财务经理</w:t>
      </w:r>
    </w:p>
    <w:p>
      <w:pPr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等线" w:eastAsia="仿宋_GB2312"/>
          <w:bCs/>
          <w:color w:val="000000"/>
          <w:sz w:val="32"/>
          <w:szCs w:val="32"/>
        </w:rPr>
        <w:t>课程总体来说都很满意，老师的讲解比较生动，案例也且有借鉴意义。</w:t>
      </w:r>
      <w:r>
        <w:rPr>
          <w:rFonts w:hint="eastAsia" w:ascii="仿宋_GB2312" w:hAnsi="等线" w:eastAsia="仿宋_GB2312"/>
          <w:bCs/>
          <w:color w:val="000000"/>
          <w:sz w:val="32"/>
          <w:szCs w:val="32"/>
        </w:rPr>
        <w:br w:type="textWrapping"/>
      </w:r>
      <w:r>
        <w:rPr>
          <w:rFonts w:hint="eastAsia" w:ascii="仿宋_GB2312" w:hAnsi="等线" w:eastAsia="仿宋_GB2312"/>
          <w:bCs/>
          <w:color w:val="000000"/>
          <w:sz w:val="32"/>
          <w:szCs w:val="32"/>
        </w:rPr>
        <w:t>——郭同学 某上市企业高级财务经理</w:t>
      </w:r>
    </w:p>
    <w:p>
      <w:pPr>
        <w:spacing w:line="360" w:lineRule="auto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七、收费标准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1.培训费：9800元。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2.食宿统一安排，费用自理，具体标准以开课通知为准。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3.费用支付方式：培训费由上海国家会计学院收取，支付宝/微信扫码、汇款。食宿费由酒店收取，现场支付。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4.关于发票：培训费发票由学院提供；食宿发票由酒店提供。</w:t>
      </w:r>
    </w:p>
    <w:p>
      <w:pPr>
        <w:spacing w:line="360" w:lineRule="auto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八、结业证书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sz w:val="32"/>
          <w:szCs w:val="32"/>
        </w:rPr>
        <w:t>培训班结束后由学院颁发结业证书，并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注明学时。继续教育学时认定事宜，烦请学员咨询当地主管部门。</w:t>
      </w:r>
    </w:p>
    <w:p>
      <w:pPr>
        <w:spacing w:line="360" w:lineRule="auto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九、报名咨询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请参加人员填写《报名表》（附后），我们将在开课前一周向报名学员发送《开课通知》。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报名咨询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联系人：黄老师18610843353（同微信）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邮箱：284828890@qq.com 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课程咨询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联系人：王老师021-39768049  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邮箱：wangchunyi@snai.edu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微软雅黑"/>
          <w:b/>
          <w:bCs/>
          <w:color w:val="000000"/>
          <w:sz w:val="36"/>
          <w:szCs w:val="36"/>
        </w:rPr>
      </w:pPr>
    </w:p>
    <w:p>
      <w:pPr>
        <w:widowControl/>
        <w:tabs>
          <w:tab w:val="center" w:pos="4766"/>
          <w:tab w:val="left" w:pos="6716"/>
        </w:tabs>
        <w:spacing w:line="360" w:lineRule="auto"/>
        <w:rPr>
          <w:rFonts w:hint="eastAsia" w:ascii="宋体" w:hAnsi="宋体" w:eastAsia="宋体" w:cs="微软雅黑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微软雅黑"/>
          <w:b/>
          <w:bCs/>
          <w:color w:val="000000"/>
          <w:sz w:val="32"/>
          <w:szCs w:val="32"/>
        </w:rPr>
        <w:t>附件二：</w:t>
      </w:r>
    </w:p>
    <w:p>
      <w:pPr>
        <w:widowControl/>
        <w:tabs>
          <w:tab w:val="center" w:pos="4766"/>
          <w:tab w:val="left" w:pos="6716"/>
        </w:tabs>
        <w:spacing w:line="360" w:lineRule="auto"/>
        <w:ind w:firstLine="2883" w:firstLineChars="900"/>
        <w:rPr>
          <w:rFonts w:hint="eastAsia" w:ascii="宋体" w:hAnsi="宋体" w:eastAsia="宋体" w:cs="微软雅黑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微软雅黑"/>
          <w:b/>
          <w:bCs/>
          <w:color w:val="000000"/>
          <w:kern w:val="0"/>
          <w:sz w:val="32"/>
          <w:szCs w:val="32"/>
        </w:rPr>
        <w:t>上海国家会计学院</w:t>
      </w:r>
    </w:p>
    <w:p>
      <w:pPr>
        <w:widowControl/>
        <w:tabs>
          <w:tab w:val="center" w:pos="4766"/>
          <w:tab w:val="left" w:pos="6716"/>
        </w:tabs>
        <w:spacing w:line="360" w:lineRule="auto"/>
        <w:ind w:firstLine="1281" w:firstLineChars="4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微软雅黑"/>
          <w:b/>
          <w:bCs/>
          <w:color w:val="000000"/>
          <w:kern w:val="0"/>
          <w:sz w:val="32"/>
          <w:szCs w:val="32"/>
        </w:rPr>
        <w:t>“国有企业高级财务管理人员”报名表</w:t>
      </w:r>
    </w:p>
    <w:tbl>
      <w:tblPr>
        <w:tblStyle w:val="9"/>
        <w:tblpPr w:leftFromText="180" w:rightFromText="180" w:vertAnchor="text" w:horzAnchor="page" w:tblpX="1455" w:tblpY="156"/>
        <w:tblOverlap w:val="never"/>
        <w:tblW w:w="93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6"/>
        <w:gridCol w:w="767"/>
        <w:gridCol w:w="368"/>
        <w:gridCol w:w="699"/>
        <w:gridCol w:w="1102"/>
        <w:gridCol w:w="467"/>
        <w:gridCol w:w="1275"/>
        <w:gridCol w:w="606"/>
        <w:gridCol w:w="670"/>
        <w:gridCol w:w="1790"/>
      </w:tblGrid>
      <w:tr>
        <w:trPr>
          <w:trHeight w:val="644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单位名称</w:t>
            </w:r>
          </w:p>
        </w:tc>
        <w:tc>
          <w:tcPr>
            <w:tcW w:w="4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单位所在地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省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市</w:t>
            </w:r>
          </w:p>
        </w:tc>
      </w:tr>
      <w:tr>
        <w:trPr>
          <w:trHeight w:val="5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联系人姓名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手机</w:t>
            </w: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邮箱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学员姓名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部门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手机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邮箱</w:t>
            </w: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rPr>
          <w:trHeight w:val="1296" w:hRule="atLeast"/>
        </w:trPr>
        <w:tc>
          <w:tcPr>
            <w:tcW w:w="4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报名程序：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培训费支付：刷卡/支付宝/微信/汇款，其中院外培训不支持刷卡。食宿费现场交纳。</w:t>
            </w:r>
          </w:p>
        </w:tc>
        <w:tc>
          <w:tcPr>
            <w:tcW w:w="4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学院账户：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学院开户行：中国建设银行上海徐泾支行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单位名称：上海国家会计学院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汇款账号：31001984300059768088</w:t>
            </w:r>
          </w:p>
        </w:tc>
      </w:tr>
      <w:tr>
        <w:trPr>
          <w:trHeight w:val="803" w:hRule="atLeast"/>
        </w:trPr>
        <w:tc>
          <w:tcPr>
            <w:tcW w:w="92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报名咨询：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 xml:space="preserve">黄老师：18610843353（同微信）  邮箱：51413235@163.com </w:t>
            </w:r>
          </w:p>
        </w:tc>
      </w:tr>
    </w:tbl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</w:p>
    <w:sectPr>
      <w:footerReference r:id="rId3" w:type="default"/>
      <w:pgSz w:w="11906" w:h="16838"/>
      <w:pgMar w:top="2280" w:right="1800" w:bottom="195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ait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Songt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140291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814BC2"/>
    <w:multiLevelType w:val="multilevel"/>
    <w:tmpl w:val="6D814BC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hideGrammaticalErrors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6E"/>
    <w:rsid w:val="00002628"/>
    <w:rsid w:val="0000659C"/>
    <w:rsid w:val="00014843"/>
    <w:rsid w:val="000168BF"/>
    <w:rsid w:val="00023DFA"/>
    <w:rsid w:val="00026161"/>
    <w:rsid w:val="000363A1"/>
    <w:rsid w:val="000376F3"/>
    <w:rsid w:val="00042481"/>
    <w:rsid w:val="00052AA9"/>
    <w:rsid w:val="000600E1"/>
    <w:rsid w:val="00064D12"/>
    <w:rsid w:val="00066C51"/>
    <w:rsid w:val="00071DC9"/>
    <w:rsid w:val="00072D32"/>
    <w:rsid w:val="0007342A"/>
    <w:rsid w:val="000768E6"/>
    <w:rsid w:val="000804D3"/>
    <w:rsid w:val="00080604"/>
    <w:rsid w:val="000817DA"/>
    <w:rsid w:val="00082D74"/>
    <w:rsid w:val="000870CE"/>
    <w:rsid w:val="00092822"/>
    <w:rsid w:val="00094FB8"/>
    <w:rsid w:val="000A65F0"/>
    <w:rsid w:val="000B500A"/>
    <w:rsid w:val="000B5D43"/>
    <w:rsid w:val="000C15A2"/>
    <w:rsid w:val="000C3972"/>
    <w:rsid w:val="000C5DAE"/>
    <w:rsid w:val="000C783B"/>
    <w:rsid w:val="000D6903"/>
    <w:rsid w:val="000E1961"/>
    <w:rsid w:val="00106640"/>
    <w:rsid w:val="00123D73"/>
    <w:rsid w:val="00124E2C"/>
    <w:rsid w:val="0012616E"/>
    <w:rsid w:val="00130282"/>
    <w:rsid w:val="00131010"/>
    <w:rsid w:val="00140AF2"/>
    <w:rsid w:val="001418B4"/>
    <w:rsid w:val="00153DFB"/>
    <w:rsid w:val="00155C1E"/>
    <w:rsid w:val="00156ACC"/>
    <w:rsid w:val="00163C5F"/>
    <w:rsid w:val="0017202E"/>
    <w:rsid w:val="00173C86"/>
    <w:rsid w:val="001777DF"/>
    <w:rsid w:val="00180416"/>
    <w:rsid w:val="001811F5"/>
    <w:rsid w:val="001868FE"/>
    <w:rsid w:val="00187186"/>
    <w:rsid w:val="00193603"/>
    <w:rsid w:val="0019509E"/>
    <w:rsid w:val="001B47C3"/>
    <w:rsid w:val="001C1186"/>
    <w:rsid w:val="001C512A"/>
    <w:rsid w:val="001C73A0"/>
    <w:rsid w:val="001E2B11"/>
    <w:rsid w:val="001E7B1F"/>
    <w:rsid w:val="001F17FF"/>
    <w:rsid w:val="001F3365"/>
    <w:rsid w:val="001F4091"/>
    <w:rsid w:val="001F657E"/>
    <w:rsid w:val="001F704F"/>
    <w:rsid w:val="00200D2C"/>
    <w:rsid w:val="002104EB"/>
    <w:rsid w:val="00215AF6"/>
    <w:rsid w:val="00230D30"/>
    <w:rsid w:val="002318D1"/>
    <w:rsid w:val="0024326E"/>
    <w:rsid w:val="00252F72"/>
    <w:rsid w:val="00255A6B"/>
    <w:rsid w:val="00260D64"/>
    <w:rsid w:val="00262272"/>
    <w:rsid w:val="0026694F"/>
    <w:rsid w:val="00266ADB"/>
    <w:rsid w:val="002677BF"/>
    <w:rsid w:val="002862BF"/>
    <w:rsid w:val="0028646E"/>
    <w:rsid w:val="00287B62"/>
    <w:rsid w:val="002A22C3"/>
    <w:rsid w:val="002A382E"/>
    <w:rsid w:val="002B74A4"/>
    <w:rsid w:val="002B7B42"/>
    <w:rsid w:val="002C50DE"/>
    <w:rsid w:val="002D18E3"/>
    <w:rsid w:val="002D5CAE"/>
    <w:rsid w:val="002D64A3"/>
    <w:rsid w:val="002E4C50"/>
    <w:rsid w:val="002F07FF"/>
    <w:rsid w:val="002F6198"/>
    <w:rsid w:val="002F6AAC"/>
    <w:rsid w:val="002F72EA"/>
    <w:rsid w:val="002F76BC"/>
    <w:rsid w:val="0030263C"/>
    <w:rsid w:val="00305E09"/>
    <w:rsid w:val="0031027A"/>
    <w:rsid w:val="003130C4"/>
    <w:rsid w:val="003133BD"/>
    <w:rsid w:val="00313914"/>
    <w:rsid w:val="003218EA"/>
    <w:rsid w:val="003324C5"/>
    <w:rsid w:val="003337E8"/>
    <w:rsid w:val="00333FBB"/>
    <w:rsid w:val="003404E7"/>
    <w:rsid w:val="003434CF"/>
    <w:rsid w:val="00344423"/>
    <w:rsid w:val="00345B95"/>
    <w:rsid w:val="00347247"/>
    <w:rsid w:val="00353880"/>
    <w:rsid w:val="00364DC2"/>
    <w:rsid w:val="00373F5C"/>
    <w:rsid w:val="00375423"/>
    <w:rsid w:val="00380C0B"/>
    <w:rsid w:val="00395202"/>
    <w:rsid w:val="00397B96"/>
    <w:rsid w:val="003A136E"/>
    <w:rsid w:val="003A7F86"/>
    <w:rsid w:val="003B6199"/>
    <w:rsid w:val="003B694F"/>
    <w:rsid w:val="003C66E7"/>
    <w:rsid w:val="003D2A9E"/>
    <w:rsid w:val="003D2C2C"/>
    <w:rsid w:val="003D4A09"/>
    <w:rsid w:val="003D68FD"/>
    <w:rsid w:val="003D7290"/>
    <w:rsid w:val="003D7AF0"/>
    <w:rsid w:val="003E01B2"/>
    <w:rsid w:val="003E210B"/>
    <w:rsid w:val="003E3CD2"/>
    <w:rsid w:val="003F2362"/>
    <w:rsid w:val="003F28DD"/>
    <w:rsid w:val="003F61D0"/>
    <w:rsid w:val="0040129D"/>
    <w:rsid w:val="004074C9"/>
    <w:rsid w:val="00411A02"/>
    <w:rsid w:val="0041483C"/>
    <w:rsid w:val="004150C7"/>
    <w:rsid w:val="00421E76"/>
    <w:rsid w:val="00425298"/>
    <w:rsid w:val="00426B8C"/>
    <w:rsid w:val="004306C3"/>
    <w:rsid w:val="004328B1"/>
    <w:rsid w:val="004347D3"/>
    <w:rsid w:val="00443AB4"/>
    <w:rsid w:val="00444E73"/>
    <w:rsid w:val="00444FE7"/>
    <w:rsid w:val="004478F2"/>
    <w:rsid w:val="0045042B"/>
    <w:rsid w:val="00450F03"/>
    <w:rsid w:val="00454DCF"/>
    <w:rsid w:val="00455F3E"/>
    <w:rsid w:val="004608D3"/>
    <w:rsid w:val="004679C9"/>
    <w:rsid w:val="004778C2"/>
    <w:rsid w:val="00477E13"/>
    <w:rsid w:val="004869ED"/>
    <w:rsid w:val="0048729F"/>
    <w:rsid w:val="0049245D"/>
    <w:rsid w:val="00493CF2"/>
    <w:rsid w:val="004A32E4"/>
    <w:rsid w:val="004A43D9"/>
    <w:rsid w:val="004A5135"/>
    <w:rsid w:val="004C232F"/>
    <w:rsid w:val="004C32EF"/>
    <w:rsid w:val="004D3DB9"/>
    <w:rsid w:val="004F6E5F"/>
    <w:rsid w:val="00503AF1"/>
    <w:rsid w:val="005059F6"/>
    <w:rsid w:val="005061EA"/>
    <w:rsid w:val="00506598"/>
    <w:rsid w:val="005149AB"/>
    <w:rsid w:val="00514E75"/>
    <w:rsid w:val="00515411"/>
    <w:rsid w:val="00517F11"/>
    <w:rsid w:val="00527120"/>
    <w:rsid w:val="00530AAB"/>
    <w:rsid w:val="0053162C"/>
    <w:rsid w:val="005360E8"/>
    <w:rsid w:val="00541CB5"/>
    <w:rsid w:val="005504D5"/>
    <w:rsid w:val="00552571"/>
    <w:rsid w:val="005528C0"/>
    <w:rsid w:val="00553761"/>
    <w:rsid w:val="00557939"/>
    <w:rsid w:val="00563D63"/>
    <w:rsid w:val="0056525A"/>
    <w:rsid w:val="00566463"/>
    <w:rsid w:val="00566841"/>
    <w:rsid w:val="00566942"/>
    <w:rsid w:val="00566E97"/>
    <w:rsid w:val="00572590"/>
    <w:rsid w:val="005749E8"/>
    <w:rsid w:val="00575CD3"/>
    <w:rsid w:val="00585220"/>
    <w:rsid w:val="00586E26"/>
    <w:rsid w:val="00594364"/>
    <w:rsid w:val="005943B8"/>
    <w:rsid w:val="00594743"/>
    <w:rsid w:val="00596140"/>
    <w:rsid w:val="00597D37"/>
    <w:rsid w:val="005A04B4"/>
    <w:rsid w:val="005A2A62"/>
    <w:rsid w:val="005A3624"/>
    <w:rsid w:val="005A5EC1"/>
    <w:rsid w:val="005B2155"/>
    <w:rsid w:val="005B2D2B"/>
    <w:rsid w:val="005B500A"/>
    <w:rsid w:val="005B7421"/>
    <w:rsid w:val="005C203F"/>
    <w:rsid w:val="005C21DC"/>
    <w:rsid w:val="005C4761"/>
    <w:rsid w:val="005D06CB"/>
    <w:rsid w:val="005D3ED1"/>
    <w:rsid w:val="005D4FFD"/>
    <w:rsid w:val="005D5B32"/>
    <w:rsid w:val="005D71C3"/>
    <w:rsid w:val="005E0CD4"/>
    <w:rsid w:val="005E7986"/>
    <w:rsid w:val="005F0FF0"/>
    <w:rsid w:val="005F1479"/>
    <w:rsid w:val="005F31A1"/>
    <w:rsid w:val="005F6627"/>
    <w:rsid w:val="006014FB"/>
    <w:rsid w:val="00607706"/>
    <w:rsid w:val="0061077E"/>
    <w:rsid w:val="00611E76"/>
    <w:rsid w:val="006148F7"/>
    <w:rsid w:val="006335B2"/>
    <w:rsid w:val="00650DC7"/>
    <w:rsid w:val="006558BA"/>
    <w:rsid w:val="00657C9F"/>
    <w:rsid w:val="00671F81"/>
    <w:rsid w:val="00677BD8"/>
    <w:rsid w:val="0068160D"/>
    <w:rsid w:val="00681748"/>
    <w:rsid w:val="006870DB"/>
    <w:rsid w:val="00693632"/>
    <w:rsid w:val="00696044"/>
    <w:rsid w:val="006A0B1A"/>
    <w:rsid w:val="006A74B7"/>
    <w:rsid w:val="006A7DE6"/>
    <w:rsid w:val="006B0848"/>
    <w:rsid w:val="006B3510"/>
    <w:rsid w:val="006B55A4"/>
    <w:rsid w:val="006B7DFA"/>
    <w:rsid w:val="006C4073"/>
    <w:rsid w:val="006D1D78"/>
    <w:rsid w:val="006D3F5D"/>
    <w:rsid w:val="006F259E"/>
    <w:rsid w:val="006F30AC"/>
    <w:rsid w:val="007016EB"/>
    <w:rsid w:val="00703757"/>
    <w:rsid w:val="00706B1E"/>
    <w:rsid w:val="00707623"/>
    <w:rsid w:val="00712DE7"/>
    <w:rsid w:val="00715662"/>
    <w:rsid w:val="007205C5"/>
    <w:rsid w:val="00721605"/>
    <w:rsid w:val="00722F38"/>
    <w:rsid w:val="00724A06"/>
    <w:rsid w:val="0073211E"/>
    <w:rsid w:val="007400B9"/>
    <w:rsid w:val="00742E35"/>
    <w:rsid w:val="0074505D"/>
    <w:rsid w:val="007472BE"/>
    <w:rsid w:val="007523F9"/>
    <w:rsid w:val="00752FC1"/>
    <w:rsid w:val="00754693"/>
    <w:rsid w:val="00754975"/>
    <w:rsid w:val="00754ECA"/>
    <w:rsid w:val="007564CD"/>
    <w:rsid w:val="00757DC1"/>
    <w:rsid w:val="0076112A"/>
    <w:rsid w:val="007652D0"/>
    <w:rsid w:val="00767348"/>
    <w:rsid w:val="007718C7"/>
    <w:rsid w:val="00771909"/>
    <w:rsid w:val="007727E3"/>
    <w:rsid w:val="00775E62"/>
    <w:rsid w:val="00782540"/>
    <w:rsid w:val="0078447D"/>
    <w:rsid w:val="007862D5"/>
    <w:rsid w:val="00787498"/>
    <w:rsid w:val="007901AD"/>
    <w:rsid w:val="007A77A6"/>
    <w:rsid w:val="007A78BB"/>
    <w:rsid w:val="007C122F"/>
    <w:rsid w:val="007C3404"/>
    <w:rsid w:val="007C5751"/>
    <w:rsid w:val="007C6741"/>
    <w:rsid w:val="007D1ED8"/>
    <w:rsid w:val="007D22F3"/>
    <w:rsid w:val="007D66EC"/>
    <w:rsid w:val="007E4A7A"/>
    <w:rsid w:val="007E79B9"/>
    <w:rsid w:val="007F6828"/>
    <w:rsid w:val="00810047"/>
    <w:rsid w:val="00810BCB"/>
    <w:rsid w:val="008124A9"/>
    <w:rsid w:val="0081298C"/>
    <w:rsid w:val="00812D53"/>
    <w:rsid w:val="00821F0D"/>
    <w:rsid w:val="00833C16"/>
    <w:rsid w:val="00836F7B"/>
    <w:rsid w:val="00851D0A"/>
    <w:rsid w:val="008535B3"/>
    <w:rsid w:val="0085485E"/>
    <w:rsid w:val="00860A6E"/>
    <w:rsid w:val="008613C4"/>
    <w:rsid w:val="008640F9"/>
    <w:rsid w:val="008658AE"/>
    <w:rsid w:val="00865EA4"/>
    <w:rsid w:val="00867B0F"/>
    <w:rsid w:val="0087303D"/>
    <w:rsid w:val="008766EA"/>
    <w:rsid w:val="00876E7F"/>
    <w:rsid w:val="008848FE"/>
    <w:rsid w:val="008876F8"/>
    <w:rsid w:val="0089038D"/>
    <w:rsid w:val="0089059A"/>
    <w:rsid w:val="008908A1"/>
    <w:rsid w:val="00891D36"/>
    <w:rsid w:val="008924CD"/>
    <w:rsid w:val="00893598"/>
    <w:rsid w:val="00893610"/>
    <w:rsid w:val="00893F3A"/>
    <w:rsid w:val="008A30DA"/>
    <w:rsid w:val="008C1636"/>
    <w:rsid w:val="008C39A7"/>
    <w:rsid w:val="008C46AB"/>
    <w:rsid w:val="008C5481"/>
    <w:rsid w:val="008D018B"/>
    <w:rsid w:val="008D1FF3"/>
    <w:rsid w:val="008D236A"/>
    <w:rsid w:val="008D2B08"/>
    <w:rsid w:val="008D52FF"/>
    <w:rsid w:val="008D74A6"/>
    <w:rsid w:val="008E2727"/>
    <w:rsid w:val="008E3CAE"/>
    <w:rsid w:val="008F5BFF"/>
    <w:rsid w:val="008F7C8F"/>
    <w:rsid w:val="00900E89"/>
    <w:rsid w:val="00904FF9"/>
    <w:rsid w:val="009059AB"/>
    <w:rsid w:val="00914594"/>
    <w:rsid w:val="00917CFE"/>
    <w:rsid w:val="00922C41"/>
    <w:rsid w:val="009439B0"/>
    <w:rsid w:val="009470E8"/>
    <w:rsid w:val="009526AC"/>
    <w:rsid w:val="0095420E"/>
    <w:rsid w:val="009552D1"/>
    <w:rsid w:val="00957911"/>
    <w:rsid w:val="00960C07"/>
    <w:rsid w:val="00963F7E"/>
    <w:rsid w:val="00965429"/>
    <w:rsid w:val="00966E28"/>
    <w:rsid w:val="00967F3B"/>
    <w:rsid w:val="00972F01"/>
    <w:rsid w:val="00975903"/>
    <w:rsid w:val="00976C2B"/>
    <w:rsid w:val="00983720"/>
    <w:rsid w:val="009838A2"/>
    <w:rsid w:val="00991010"/>
    <w:rsid w:val="009933FD"/>
    <w:rsid w:val="00997FAB"/>
    <w:rsid w:val="009A1AD5"/>
    <w:rsid w:val="009B2CA6"/>
    <w:rsid w:val="009C226E"/>
    <w:rsid w:val="009C27A4"/>
    <w:rsid w:val="009C322F"/>
    <w:rsid w:val="009C3EE9"/>
    <w:rsid w:val="009C65E3"/>
    <w:rsid w:val="009D24D9"/>
    <w:rsid w:val="009D4467"/>
    <w:rsid w:val="009D68A8"/>
    <w:rsid w:val="009D7E8F"/>
    <w:rsid w:val="009E18C4"/>
    <w:rsid w:val="009E290B"/>
    <w:rsid w:val="009E5611"/>
    <w:rsid w:val="009E61D1"/>
    <w:rsid w:val="009E75A9"/>
    <w:rsid w:val="009F24F4"/>
    <w:rsid w:val="009F37D0"/>
    <w:rsid w:val="00A00D7C"/>
    <w:rsid w:val="00A14FCE"/>
    <w:rsid w:val="00A16DBE"/>
    <w:rsid w:val="00A20BC1"/>
    <w:rsid w:val="00A27479"/>
    <w:rsid w:val="00A30E88"/>
    <w:rsid w:val="00A36367"/>
    <w:rsid w:val="00A42C36"/>
    <w:rsid w:val="00A465AB"/>
    <w:rsid w:val="00A52855"/>
    <w:rsid w:val="00A75B7F"/>
    <w:rsid w:val="00A80E1F"/>
    <w:rsid w:val="00A826B9"/>
    <w:rsid w:val="00A869E1"/>
    <w:rsid w:val="00A93E2B"/>
    <w:rsid w:val="00A94502"/>
    <w:rsid w:val="00A9494F"/>
    <w:rsid w:val="00AA0B29"/>
    <w:rsid w:val="00AA2A76"/>
    <w:rsid w:val="00AA390E"/>
    <w:rsid w:val="00AA3E34"/>
    <w:rsid w:val="00AB093C"/>
    <w:rsid w:val="00AB0C5B"/>
    <w:rsid w:val="00AB54F4"/>
    <w:rsid w:val="00AB63E3"/>
    <w:rsid w:val="00AC053E"/>
    <w:rsid w:val="00AC2085"/>
    <w:rsid w:val="00AD3E5A"/>
    <w:rsid w:val="00AD5BD1"/>
    <w:rsid w:val="00AD74CC"/>
    <w:rsid w:val="00AE0726"/>
    <w:rsid w:val="00AE71D4"/>
    <w:rsid w:val="00AF0A9B"/>
    <w:rsid w:val="00AF18C2"/>
    <w:rsid w:val="00AF3741"/>
    <w:rsid w:val="00B01A96"/>
    <w:rsid w:val="00B05810"/>
    <w:rsid w:val="00B0795F"/>
    <w:rsid w:val="00B17FAA"/>
    <w:rsid w:val="00B21AE1"/>
    <w:rsid w:val="00B23BE5"/>
    <w:rsid w:val="00B256A9"/>
    <w:rsid w:val="00B33309"/>
    <w:rsid w:val="00B34758"/>
    <w:rsid w:val="00B34EAE"/>
    <w:rsid w:val="00B36124"/>
    <w:rsid w:val="00B41736"/>
    <w:rsid w:val="00B42705"/>
    <w:rsid w:val="00B43121"/>
    <w:rsid w:val="00B53E76"/>
    <w:rsid w:val="00B55DF6"/>
    <w:rsid w:val="00B6004B"/>
    <w:rsid w:val="00B643B8"/>
    <w:rsid w:val="00B6449F"/>
    <w:rsid w:val="00B65866"/>
    <w:rsid w:val="00B67677"/>
    <w:rsid w:val="00B705C7"/>
    <w:rsid w:val="00B708AC"/>
    <w:rsid w:val="00B74072"/>
    <w:rsid w:val="00B811DF"/>
    <w:rsid w:val="00B816F9"/>
    <w:rsid w:val="00B836DD"/>
    <w:rsid w:val="00B8399D"/>
    <w:rsid w:val="00B84B76"/>
    <w:rsid w:val="00B902E7"/>
    <w:rsid w:val="00B90E3B"/>
    <w:rsid w:val="00B94397"/>
    <w:rsid w:val="00B949C3"/>
    <w:rsid w:val="00BA78F1"/>
    <w:rsid w:val="00BA79E8"/>
    <w:rsid w:val="00BB7E60"/>
    <w:rsid w:val="00BC09A7"/>
    <w:rsid w:val="00BD4F30"/>
    <w:rsid w:val="00BE3873"/>
    <w:rsid w:val="00BE7594"/>
    <w:rsid w:val="00BE789A"/>
    <w:rsid w:val="00BF6266"/>
    <w:rsid w:val="00C02E22"/>
    <w:rsid w:val="00C067E1"/>
    <w:rsid w:val="00C13D5B"/>
    <w:rsid w:val="00C1453C"/>
    <w:rsid w:val="00C16090"/>
    <w:rsid w:val="00C24823"/>
    <w:rsid w:val="00C269DE"/>
    <w:rsid w:val="00C35E46"/>
    <w:rsid w:val="00C3780C"/>
    <w:rsid w:val="00C479F3"/>
    <w:rsid w:val="00C50C5E"/>
    <w:rsid w:val="00C57690"/>
    <w:rsid w:val="00C60182"/>
    <w:rsid w:val="00C60C12"/>
    <w:rsid w:val="00C715E2"/>
    <w:rsid w:val="00C717D7"/>
    <w:rsid w:val="00C73556"/>
    <w:rsid w:val="00C7464E"/>
    <w:rsid w:val="00C7681D"/>
    <w:rsid w:val="00C81609"/>
    <w:rsid w:val="00C95710"/>
    <w:rsid w:val="00C961D3"/>
    <w:rsid w:val="00CA1FE0"/>
    <w:rsid w:val="00CA2B12"/>
    <w:rsid w:val="00CA45BA"/>
    <w:rsid w:val="00CB02D2"/>
    <w:rsid w:val="00CB6CD5"/>
    <w:rsid w:val="00CC3150"/>
    <w:rsid w:val="00CC3C04"/>
    <w:rsid w:val="00CC660C"/>
    <w:rsid w:val="00CC69B3"/>
    <w:rsid w:val="00CD1632"/>
    <w:rsid w:val="00CD5063"/>
    <w:rsid w:val="00CF312B"/>
    <w:rsid w:val="00D06171"/>
    <w:rsid w:val="00D07460"/>
    <w:rsid w:val="00D145B2"/>
    <w:rsid w:val="00D15BFD"/>
    <w:rsid w:val="00D176D3"/>
    <w:rsid w:val="00D268BD"/>
    <w:rsid w:val="00D26E08"/>
    <w:rsid w:val="00D31B79"/>
    <w:rsid w:val="00D3676C"/>
    <w:rsid w:val="00D408BA"/>
    <w:rsid w:val="00D46BC9"/>
    <w:rsid w:val="00D506D1"/>
    <w:rsid w:val="00D50CBE"/>
    <w:rsid w:val="00D57ACE"/>
    <w:rsid w:val="00D61F91"/>
    <w:rsid w:val="00D659C2"/>
    <w:rsid w:val="00D76BC5"/>
    <w:rsid w:val="00D77851"/>
    <w:rsid w:val="00D83D93"/>
    <w:rsid w:val="00D84015"/>
    <w:rsid w:val="00D91A05"/>
    <w:rsid w:val="00D947DC"/>
    <w:rsid w:val="00DA3E73"/>
    <w:rsid w:val="00DA4ACA"/>
    <w:rsid w:val="00DB49D5"/>
    <w:rsid w:val="00DC34F2"/>
    <w:rsid w:val="00DC5983"/>
    <w:rsid w:val="00DD091D"/>
    <w:rsid w:val="00DD242A"/>
    <w:rsid w:val="00DE07BE"/>
    <w:rsid w:val="00DE4DF0"/>
    <w:rsid w:val="00DE5552"/>
    <w:rsid w:val="00DF22F4"/>
    <w:rsid w:val="00DF3A3A"/>
    <w:rsid w:val="00E00E5F"/>
    <w:rsid w:val="00E01DD6"/>
    <w:rsid w:val="00E10A59"/>
    <w:rsid w:val="00E10BD5"/>
    <w:rsid w:val="00E1146F"/>
    <w:rsid w:val="00E13626"/>
    <w:rsid w:val="00E14995"/>
    <w:rsid w:val="00E16AE7"/>
    <w:rsid w:val="00E22268"/>
    <w:rsid w:val="00E22B8E"/>
    <w:rsid w:val="00E279F9"/>
    <w:rsid w:val="00E3695B"/>
    <w:rsid w:val="00E60190"/>
    <w:rsid w:val="00E63BD9"/>
    <w:rsid w:val="00E64C1B"/>
    <w:rsid w:val="00E6573C"/>
    <w:rsid w:val="00E70D66"/>
    <w:rsid w:val="00E713E0"/>
    <w:rsid w:val="00E735F3"/>
    <w:rsid w:val="00E7416D"/>
    <w:rsid w:val="00E77CB4"/>
    <w:rsid w:val="00E8113C"/>
    <w:rsid w:val="00E8359C"/>
    <w:rsid w:val="00E900E3"/>
    <w:rsid w:val="00E931A0"/>
    <w:rsid w:val="00E97FBC"/>
    <w:rsid w:val="00EA023D"/>
    <w:rsid w:val="00EA3A0A"/>
    <w:rsid w:val="00EA7D52"/>
    <w:rsid w:val="00EB0BA8"/>
    <w:rsid w:val="00EB1C7E"/>
    <w:rsid w:val="00EB43DE"/>
    <w:rsid w:val="00EC1439"/>
    <w:rsid w:val="00EC59EE"/>
    <w:rsid w:val="00ED1C8C"/>
    <w:rsid w:val="00EE589C"/>
    <w:rsid w:val="00EE74F5"/>
    <w:rsid w:val="00EF088C"/>
    <w:rsid w:val="00EF22CF"/>
    <w:rsid w:val="00F11CE9"/>
    <w:rsid w:val="00F14683"/>
    <w:rsid w:val="00F2770A"/>
    <w:rsid w:val="00F33FD8"/>
    <w:rsid w:val="00F36217"/>
    <w:rsid w:val="00F4154F"/>
    <w:rsid w:val="00F41674"/>
    <w:rsid w:val="00F41E84"/>
    <w:rsid w:val="00F50F67"/>
    <w:rsid w:val="00F547BB"/>
    <w:rsid w:val="00F5795C"/>
    <w:rsid w:val="00F6603C"/>
    <w:rsid w:val="00F7031C"/>
    <w:rsid w:val="00F71CCE"/>
    <w:rsid w:val="00F766B0"/>
    <w:rsid w:val="00F823DD"/>
    <w:rsid w:val="00F8642B"/>
    <w:rsid w:val="00F871EB"/>
    <w:rsid w:val="00F87FAC"/>
    <w:rsid w:val="00F924AA"/>
    <w:rsid w:val="00F9277B"/>
    <w:rsid w:val="00F93015"/>
    <w:rsid w:val="00F95455"/>
    <w:rsid w:val="00F97A8D"/>
    <w:rsid w:val="00FA17C3"/>
    <w:rsid w:val="00FA40A8"/>
    <w:rsid w:val="00FA4BE0"/>
    <w:rsid w:val="00FA59F8"/>
    <w:rsid w:val="00FA60F9"/>
    <w:rsid w:val="00FB1895"/>
    <w:rsid w:val="00FB1E57"/>
    <w:rsid w:val="00FB6CD1"/>
    <w:rsid w:val="00FB7244"/>
    <w:rsid w:val="00FD2B41"/>
    <w:rsid w:val="00FD383C"/>
    <w:rsid w:val="00FD48A7"/>
    <w:rsid w:val="00FE32DC"/>
    <w:rsid w:val="00FF1E1A"/>
    <w:rsid w:val="0B7B1684"/>
    <w:rsid w:val="1286645B"/>
    <w:rsid w:val="16811067"/>
    <w:rsid w:val="2DD0072D"/>
    <w:rsid w:val="339D0D66"/>
    <w:rsid w:val="37105C60"/>
    <w:rsid w:val="3AA8407A"/>
    <w:rsid w:val="3B2C039E"/>
    <w:rsid w:val="3FF9783E"/>
    <w:rsid w:val="43B353C4"/>
    <w:rsid w:val="55852D4B"/>
    <w:rsid w:val="5BC5231E"/>
    <w:rsid w:val="62DF3808"/>
    <w:rsid w:val="6D5E406B"/>
    <w:rsid w:val="6D5F6EAA"/>
    <w:rsid w:val="735517A0"/>
    <w:rsid w:val="7382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unhideWhenUsed/>
    <w:uiPriority w:val="99"/>
    <w:pPr>
      <w:jc w:val="left"/>
    </w:p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3"/>
    <w:semiHidden/>
    <w:unhideWhenUsed/>
    <w:uiPriority w:val="99"/>
    <w:rPr>
      <w:b/>
      <w:bCs/>
    </w:rPr>
  </w:style>
  <w:style w:type="character" w:styleId="11">
    <w:name w:val="Hyperlink"/>
    <w:basedOn w:val="10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styleId="1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日期 字符"/>
    <w:basedOn w:val="10"/>
    <w:link w:val="3"/>
    <w:semiHidden/>
    <w:qFormat/>
    <w:uiPriority w:val="99"/>
    <w:rPr>
      <w:kern w:val="2"/>
      <w:sz w:val="21"/>
      <w:szCs w:val="22"/>
    </w:rPr>
  </w:style>
  <w:style w:type="paragraph" w:customStyle="1" w:styleId="18">
    <w:name w:val="正文 A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9">
    <w:name w:val="批注框文本 字符"/>
    <w:basedOn w:val="10"/>
    <w:link w:val="4"/>
    <w:semiHidden/>
    <w:uiPriority w:val="99"/>
    <w:rPr>
      <w:rFonts w:asciiTheme="minorHAnsi" w:hAnsiTheme="minorHAnsi" w:cstheme="minorBidi"/>
      <w:kern w:val="2"/>
      <w:sz w:val="18"/>
      <w:szCs w:val="18"/>
    </w:rPr>
  </w:style>
  <w:style w:type="character" w:customStyle="1" w:styleId="20">
    <w:name w:val="未处理的提及1"/>
    <w:basedOn w:val="10"/>
    <w:semiHidden/>
    <w:unhideWhenUsed/>
    <w:uiPriority w:val="99"/>
    <w:rPr>
      <w:color w:val="605E5C"/>
      <w:shd w:val="clear" w:color="auto" w:fill="E1DFDD"/>
    </w:rPr>
  </w:style>
  <w:style w:type="paragraph" w:customStyle="1" w:styleId="21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2">
    <w:name w:val="批注文字 字符"/>
    <w:basedOn w:val="10"/>
    <w:link w:val="2"/>
    <w:uiPriority w:val="99"/>
    <w:rPr>
      <w:rFonts w:asciiTheme="minorHAnsi" w:hAnsiTheme="minorHAnsi" w:cstheme="minorBidi"/>
      <w:kern w:val="2"/>
      <w:sz w:val="21"/>
      <w:szCs w:val="22"/>
    </w:rPr>
  </w:style>
  <w:style w:type="character" w:customStyle="1" w:styleId="23">
    <w:name w:val="批注主题 字符"/>
    <w:basedOn w:val="22"/>
    <w:link w:val="8"/>
    <w:semiHidden/>
    <w:uiPriority w:val="99"/>
    <w:rPr>
      <w:rFonts w:asciiTheme="minorHAnsi" w:hAnsiTheme="minorHAnsi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510</Words>
  <Characters>2908</Characters>
  <Lines>24</Lines>
  <Paragraphs>6</Paragraphs>
  <TotalTime>81</TotalTime>
  <ScaleCrop>false</ScaleCrop>
  <LinksUpToDate>false</LinksUpToDate>
  <CharactersWithSpaces>3412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2024-08-12T18:30:00Z</dcterms:created>
  <dc:creator>石坤</dc:creator>
  <cp:lastModifiedBy>Daydream</cp:lastModifiedBy>
  <dcterms:modified xsi:type="dcterms:W3CDTF">2025-05-07T13:37:31Z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GrammarlyDocumentId">
    <vt:lpwstr>036d2b83a92948e5cedf59f390b4cbad474ad1a29e324b0fba25def2ac85b39d</vt:lpwstr>
  </property>
  <property fmtid="{D5CDD505-2E9C-101B-9397-08002B2CF9AE}" pid="4" name="ICV">
    <vt:lpwstr>0487F11033709B46FE96EB674D29A0FB_42</vt:lpwstr>
  </property>
</Properties>
</file>