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eastAsia="宋体"/>
          <w:b/>
          <w:bCs/>
          <w:color w:val="FF3300"/>
          <w:spacing w:val="-40"/>
          <w:sz w:val="84"/>
          <w:szCs w:val="84"/>
        </w:rPr>
      </w:pPr>
      <w:r>
        <w:rPr>
          <w:rFonts w:hint="eastAsia" w:ascii="宋体" w:hAnsi="宋体" w:eastAsia="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ascii="宋体" w:hAnsi="宋体" w:eastAsia="宋体" w:cs="微软雅黑"/>
          <w:bCs/>
          <w:sz w:val="32"/>
          <w:szCs w:val="32"/>
        </w:rPr>
      </w:pPr>
      <w:r>
        <w:rPr>
          <w:rFonts w:hint="eastAsia" w:ascii="宋体" w:hAnsi="宋体" w:eastAsia="宋体" w:cs="楷体"/>
          <w:bCs/>
          <w:sz w:val="42"/>
          <w:szCs w:val="42"/>
        </w:rPr>
        <w:t xml:space="preserve"> </w:t>
      </w:r>
      <w:r>
        <w:rPr>
          <w:rFonts w:hint="eastAsia" w:ascii="宋体" w:hAnsi="宋体" w:eastAsia="宋体" w:cs="微软雅黑"/>
          <w:bCs/>
          <w:sz w:val="32"/>
          <w:szCs w:val="32"/>
        </w:rPr>
        <w:t xml:space="preserve">  上国会培〔</w:t>
      </w:r>
      <w:r>
        <w:rPr>
          <w:rFonts w:ascii="宋体" w:hAnsi="宋体" w:eastAsia="宋体" w:cs="微软雅黑"/>
          <w:bCs/>
          <w:sz w:val="32"/>
          <w:szCs w:val="32"/>
        </w:rPr>
        <w:t>202</w:t>
      </w:r>
      <w:r>
        <w:rPr>
          <w:rFonts w:hint="eastAsia" w:ascii="宋体" w:hAnsi="宋体" w:eastAsia="宋体" w:cs="微软雅黑"/>
          <w:bCs/>
          <w:sz w:val="32"/>
          <w:szCs w:val="32"/>
        </w:rPr>
        <w:t>5〕60号</w:t>
      </w:r>
    </w:p>
    <w:p>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0" t="0" r="24765" b="24130"/>
                <wp:wrapNone/>
                <wp:docPr id="3" name="直接连接符 3"/>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flip:y;margin-left:-9.75pt;margin-top:22.3pt;height:1.1pt;width:430.05pt;z-index:251659264;mso-width-relative:page;mso-height-relative:page;" filled="f" stroked="t" coordsize="21600,21600" o:gfxdata="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hhJQAtUAAAAJAQAADwAAAAAAAAABACAAAAA4AAAAZHJzL2Rvd25yZXYueG1sUEsBAhQAFAAAAAgA&#10;h07iQFCablLZAQAAhwMAAA4AAAAAAAAAAQAgAAAAOgEAAGRycy9lMm9Eb2MueG1sUEsFBgAAAAAG&#10;AAYAWQEAAIUFAAAAAA==&#10;">
                <v:fill on="f" focussize="0,0"/>
                <v:stroke weight="2pt" color="#FF0000" joinstyle="round"/>
                <v:imagedata o:title=""/>
                <o:lock v:ext="edit" aspectratio="f"/>
              </v:line>
            </w:pict>
          </mc:Fallback>
        </mc:AlternateContent>
      </w:r>
    </w:p>
    <w:p>
      <w:pPr>
        <w:spacing w:line="360" w:lineRule="auto"/>
        <w:ind w:right="-31" w:rightChars="-15"/>
        <w:jc w:val="center"/>
        <w:rPr>
          <w:rFonts w:hint="eastAsia" w:ascii="宋体" w:hAnsi="宋体"/>
          <w:b/>
          <w:sz w:val="44"/>
          <w:szCs w:val="44"/>
        </w:rPr>
      </w:pPr>
    </w:p>
    <w:p>
      <w:pPr>
        <w:spacing w:line="64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关于举办“名师课程：税务专题之个人所得税税收风险合规管理”培训班的通知</w:t>
      </w:r>
    </w:p>
    <w:p>
      <w:pPr>
        <w:rPr>
          <w:rFonts w:hint="eastAsia"/>
          <w:b/>
          <w:sz w:val="28"/>
          <w:szCs w:val="28"/>
        </w:rPr>
      </w:pPr>
    </w:p>
    <w:p>
      <w:pPr>
        <w:pStyle w:val="12"/>
        <w:rPr>
          <w:rFonts w:hint="eastAsia" w:ascii="仿宋_GB2312" w:hAnsi="仿宋" w:eastAsia="仿宋_GB2312"/>
          <w:sz w:val="32"/>
          <w:szCs w:val="32"/>
        </w:rPr>
      </w:pPr>
      <w:r>
        <w:rPr>
          <w:rFonts w:hint="eastAsia" w:ascii="仿宋_GB2312" w:hAnsi="仿宋" w:eastAsia="仿宋_GB2312"/>
          <w:sz w:val="32"/>
          <w:szCs w:val="32"/>
        </w:rPr>
        <w:t>各相关单位：</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深入贯彻落实中央关于财税体制改革的最新精神，帮助企业财务高管和企业税务管理高端人才准确把握新时代税制改革方向，提升在大数据下税务风险防范能力与税务合规管理水平，上海国家会计学院特举办“名师课程：税务专题研修班”，聚焦财税领域广受关注的税收风险重点难点热点问题。本期课程个人所得税相关问题，通过深度剖析多个关键模块的税收风险防范与合规要点，助力学员全面掌握个人所得税相关知识与实务技能。</w:t>
      </w:r>
    </w:p>
    <w:p>
      <w:pPr>
        <w:pStyle w:val="12"/>
        <w:rPr>
          <w:rFonts w:hint="eastAsia" w:ascii="仿宋_GB2312" w:hAnsi="仿宋" w:eastAsia="仿宋_GB2312"/>
          <w:sz w:val="32"/>
          <w:szCs w:val="32"/>
        </w:rPr>
      </w:pPr>
    </w:p>
    <w:p>
      <w:pPr>
        <w:pStyle w:val="12"/>
        <w:ind w:firstLine="640" w:firstLineChars="200"/>
        <w:rPr>
          <w:rFonts w:hint="eastAsia" w:ascii="仿宋_GB2312" w:hAnsi="仿宋" w:eastAsia="仿宋_GB2312"/>
          <w:sz w:val="32"/>
          <w:szCs w:val="32"/>
        </w:rPr>
      </w:pPr>
      <w:r>
        <w:rPr>
          <w:rFonts w:hint="eastAsia" w:ascii="仿宋_GB2312" w:hAnsi="仿宋" w:eastAsia="仿宋_GB2312"/>
          <w:sz w:val="32"/>
          <w:szCs w:val="32"/>
        </w:rPr>
        <w:t>附件：一、课程简介</w:t>
      </w:r>
    </w:p>
    <w:p>
      <w:pPr>
        <w:pStyle w:val="12"/>
        <w:ind w:firstLine="1600" w:firstLineChars="500"/>
        <w:rPr>
          <w:rFonts w:hint="eastAsia" w:ascii="仿宋_GB2312" w:hAnsi="仿宋" w:eastAsia="仿宋_GB2312"/>
          <w:sz w:val="32"/>
          <w:szCs w:val="32"/>
        </w:rPr>
      </w:pPr>
      <w:r>
        <w:rPr>
          <w:rFonts w:hint="eastAsia" w:ascii="仿宋_GB2312" w:hAnsi="仿宋" w:eastAsia="仿宋_GB2312"/>
          <w:sz w:val="32"/>
          <w:szCs w:val="32"/>
        </w:rPr>
        <w:t>二、报名回执表</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上海国家会计学院</w:t>
      </w:r>
    </w:p>
    <w:p>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教务二部</w:t>
      </w:r>
    </w:p>
    <w:p>
      <w:pPr>
        <w:spacing w:line="360" w:lineRule="auto"/>
        <w:ind w:firstLine="6400" w:firstLineChars="2000"/>
        <w:jc w:val="right"/>
        <w:rPr>
          <w:rFonts w:hint="eastAsia" w:ascii="仿宋_GB2312" w:hAnsi="仿宋" w:eastAsia="仿宋_GB2312"/>
          <w:sz w:val="32"/>
          <w:szCs w:val="32"/>
        </w:rPr>
      </w:pPr>
      <w:r>
        <w:rPr>
          <w:rFonts w:hint="eastAsia" w:ascii="仿宋_GB2312" w:hAnsi="仿宋" w:eastAsia="仿宋_GB2312"/>
          <w:sz w:val="32"/>
          <w:szCs w:val="32"/>
        </w:rPr>
        <w:t>2025年5月</w:t>
      </w:r>
    </w:p>
    <w:p>
      <w:pPr>
        <w:pStyle w:val="12"/>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一、培训安排</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31"/>
        <w:gridCol w:w="1862"/>
        <w:gridCol w:w="2816"/>
      </w:tblGrid>
      <w:tr>
        <w:trPr>
          <w:jc w:val="center"/>
        </w:trPr>
        <w:tc>
          <w:tcPr>
            <w:tcW w:w="127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第1期</w:t>
            </w:r>
          </w:p>
        </w:tc>
        <w:tc>
          <w:tcPr>
            <w:tcW w:w="283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6月21日-22日</w:t>
            </w:r>
          </w:p>
        </w:tc>
        <w:tc>
          <w:tcPr>
            <w:tcW w:w="186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6月20日</w:t>
            </w:r>
          </w:p>
        </w:tc>
        <w:tc>
          <w:tcPr>
            <w:tcW w:w="281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bl>
    <w:p>
      <w:p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二、培训对象</w:t>
      </w:r>
    </w:p>
    <w:p>
      <w:pPr>
        <w:spacing w:line="360" w:lineRule="auto"/>
        <w:rPr>
          <w:rFonts w:hint="eastAsia"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企事业单位及中介机构财务高管，企业税务总监、税务负责人等专业人士，以及其他财税相关资深从业人员。</w:t>
      </w:r>
    </w:p>
    <w:p>
      <w:pPr>
        <w:spacing w:line="360" w:lineRule="auto"/>
        <w:rPr>
          <w:rFonts w:hint="eastAsia" w:ascii="仿宋_GB2312" w:hAnsi="仿宋" w:eastAsia="仿宋_GB2312"/>
          <w:b/>
          <w:sz w:val="32"/>
          <w:szCs w:val="32"/>
        </w:rPr>
      </w:pPr>
      <w:r>
        <w:rPr>
          <w:rFonts w:hint="eastAsia" w:ascii="仿宋_GB2312" w:hAnsi="仿宋" w:eastAsia="仿宋_GB2312"/>
          <w:b/>
          <w:sz w:val="32"/>
          <w:szCs w:val="32"/>
        </w:rPr>
        <w:t>三、课程收益</w:t>
      </w:r>
    </w:p>
    <w:p>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 全面掌握合伙企业、私募基金、股权激励等领域与个人所得税相关的专业知识，深入理解个人所得税与企业所得税、增值税之间的关系。</w:t>
      </w:r>
    </w:p>
    <w:p>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 收获更强的税收风险防范意识和能力，避免因税务处理不当带来的法律和经济风险。</w:t>
      </w:r>
    </w:p>
    <w:p>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 通过实际案例分析，将理论知识应用于实际工作中，提升解决实际税收问题的能力。</w:t>
      </w:r>
    </w:p>
    <w:p>
      <w:pPr>
        <w:spacing w:line="360" w:lineRule="auto"/>
        <w:rPr>
          <w:rFonts w:hint="eastAsia" w:ascii="仿宋_GB2312" w:hAnsi="仿宋" w:eastAsia="仿宋_GB2312"/>
          <w:b/>
          <w:sz w:val="32"/>
          <w:szCs w:val="32"/>
        </w:rPr>
      </w:pPr>
      <w:r>
        <w:rPr>
          <w:rFonts w:hint="eastAsia" w:ascii="仿宋_GB2312" w:hAnsi="仿宋" w:eastAsia="仿宋_GB2312"/>
          <w:b/>
          <w:sz w:val="32"/>
          <w:szCs w:val="32"/>
        </w:rPr>
        <w:t>四、课程内容</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模块一、合伙企业、私募基金税收风险防范</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1.合伙企业的法律属性如何影响纳税主体认定？</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2.普通合伙人（GP）与有限合伙人（LP）的纳税义务有何差异？</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3.合伙企业利润分配、亏损弥补及“先本后息”的分配方式的税收问题。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4.契约型和合伙型私募基金税收问题。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5.管理费、业绩报酬的增值税与企业所得税。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6.案例分析：嵌套式基金（多层LP结构）的税收问题。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7.案例分析：股权转让、财产份额转让、回购、对赌协议的税收问题。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8.创业投资企业和天使投资个人有关税收优惠政策的使用。</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9.合伙企业注销税收问题。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模块二、股权激励税收合规性风险防范</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1.上市公司股权激励中权益结算和现金结算有何区别？</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2.上市公司股权激励如何进行会计处理？</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3.上市公司股权激励支出如何进行税前扣除？是否存在税会差异？</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4.上市公司股权激励如何计算缴纳个人所得税？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5.非上市公司股权激励与上市公司股权激励有何区别？</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6.非上市公司股权激励如何计算缴纳个人所得税？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7.持股平台型股权激励税收待遇适用中需要注意哪些问题？</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8.集团企业跨企业间股权激励如何进行财税处理？</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模块三、个人所得税与企业所得税、增值税的关系分析</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1.工资薪金未扣缴个人所得税能否在企业所得税前扣除？</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2.劳务报酬未扣缴个人所得税能否在企业所得税前扣除？</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3.由企业承担的个人所得税能否在企业所得税前扣除？</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4.案例解析：工资薪金“两比对”税收风险——强化风险比对严防利用往来账偷逃所得税。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5.案例解析：违规使用他人身份扣缴个税被“ 申诉”，企业所得税被调增。</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 xml:space="preserve">6.案例解析：未取得扣除凭据支出改为工资薪金扣除偷逃税风险。 </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7.劳务费缴纳增值税后与个人所得税中“综合所得”是的关系？</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8.个人取得劳务报酬代开发票时按次还是按期享受增值税起征点优惠？</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9.个人取得经营所得代开发票时按次还是按期享受增值税起征点优惠？</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10.案例解析：员工变个体，增值税虚开发票风险有多大？</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模块四、个人所得税合规性风险防范</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1.临时工、实习生和离休返聘人员能否按照工资薪金适用累计预扣法？</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2.劳务报酬转变为经营所得进行税收筹划有何税收风险？</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3.发票抵工资个人所得税风险为何频繁被税务机关预警？</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4.案例解析：利用灵活用工方式委托代征个人所得税风险防范</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5.通讯费和通信费补贴能否享受个人所得税减免税优惠？</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6.代发工资是否改变工资薪金个人所得税扣缴主体？</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7.异地派遣人员工资薪金个人所得税扣缴主体如何确定？</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8.年终奖申报后能否更改单独计税的金额？</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9.分主体发放年终奖能否起到减轻个人所得税税税负？</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10.差旅费津贴是否需要并入工资薪金计征个人所得税？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 xml:space="preserve">11.私车公用支付给员工的费用是否需要扣缴个人所得税？ </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12.非货币性福利是否需要并入工资薪金扣缴个人所得税？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13.工会发放给员工的节日福利是否需要扣缴个人所得税？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14.企业为员工购置的工作服支出是否需要扣缴个人所得税？</w:t>
      </w:r>
    </w:p>
    <w:p>
      <w:pPr>
        <w:widowControl/>
        <w:spacing w:before="240" w:after="240"/>
        <w:ind w:firstLine="640" w:firstLineChars="200"/>
        <w:rPr>
          <w:rFonts w:hint="eastAsia" w:ascii="仿宋_GB2312" w:hAnsi="仿宋_GB2312" w:eastAsia="仿宋_GB2312"/>
          <w:sz w:val="32"/>
          <w:szCs w:val="32"/>
          <w14:ligatures w14:val="standardContextual"/>
        </w:rPr>
      </w:pPr>
      <w:r>
        <w:rPr>
          <w:rFonts w:hint="eastAsia" w:ascii="仿宋_GB2312" w:hAnsi="仿宋_GB2312" w:eastAsia="仿宋_GB2312"/>
          <w:sz w:val="32"/>
          <w:szCs w:val="32"/>
          <w14:ligatures w14:val="standardContextual"/>
        </w:rPr>
        <w:t>15.单位支付给员工福利平台的费用是否需要扣缴个人所得税？</w:t>
      </w:r>
    </w:p>
    <w:p>
      <w:pPr>
        <w:widowControl/>
        <w:spacing w:before="240" w:after="240"/>
        <w:ind w:firstLine="640" w:firstLineChars="200"/>
        <w:rPr>
          <w:rFonts w:hint="eastAsia" w:ascii="仿宋_GB2312" w:hAnsi="仿宋_GB2312" w:eastAsia="仿宋_GB2312"/>
          <w:b/>
          <w:bCs/>
          <w:sz w:val="32"/>
          <w:szCs w:val="32"/>
        </w:rPr>
      </w:pPr>
      <w:r>
        <w:rPr>
          <w:rFonts w:hint="eastAsia" w:ascii="仿宋_GB2312" w:hAnsi="仿宋_GB2312" w:eastAsia="仿宋_GB2312"/>
          <w:sz w:val="32"/>
          <w:szCs w:val="32"/>
          <w14:ligatures w14:val="standardContextual"/>
        </w:rPr>
        <w:t>16.个人多处取得经营所得如何进行合并纳税？</w:t>
      </w:r>
    </w:p>
    <w:p>
      <w:pPr>
        <w:widowControl/>
        <w:spacing w:line="360" w:lineRule="auto"/>
        <w:ind w:left="643" w:hanging="643" w:hangingChars="200"/>
        <w:jc w:val="left"/>
        <w:rPr>
          <w:rFonts w:hint="eastAsia" w:ascii="仿宋_GB2312" w:hAnsi="仿宋" w:eastAsia="仿宋_GB2312"/>
          <w:b/>
          <w:sz w:val="32"/>
          <w:szCs w:val="32"/>
        </w:rPr>
      </w:pPr>
      <w:r>
        <w:rPr>
          <w:rFonts w:hint="eastAsia" w:ascii="仿宋_GB2312" w:hAnsi="仿宋" w:eastAsia="仿宋_GB2312"/>
          <w:b/>
          <w:sz w:val="32"/>
          <w:szCs w:val="32"/>
        </w:rPr>
        <w:t>五、拟邀师资</w:t>
      </w:r>
    </w:p>
    <w:p>
      <w:pPr>
        <w:widowControl/>
        <w:spacing w:line="360" w:lineRule="auto"/>
        <w:jc w:val="both"/>
        <w:rPr>
          <w:rFonts w:hint="eastAsia" w:ascii="仿宋_GB2312" w:hAnsi="仿宋" w:eastAsia="仿宋_GB2312" w:cs="Times New Roman"/>
          <w:color w:val="000000"/>
          <w:sz w:val="32"/>
          <w:szCs w:val="32"/>
        </w:rPr>
      </w:pPr>
      <w:r>
        <w:rPr>
          <w:rFonts w:hint="eastAsia" w:ascii="仿宋_GB2312" w:hAnsi="仿宋" w:eastAsia="仿宋_GB2312" w:cs="Times New Roman"/>
          <w:b/>
          <w:bCs/>
          <w:color w:val="000000"/>
          <w:sz w:val="32"/>
          <w:szCs w:val="32"/>
        </w:rPr>
        <w:t>辛老师：</w:t>
      </w:r>
      <w:r>
        <w:rPr>
          <w:rFonts w:hint="eastAsia" w:ascii="仿宋_GB2312" w:hAnsi="仿宋" w:eastAsia="仿宋_GB2312" w:cs="Times New Roman"/>
          <w:color w:val="000000"/>
          <w:sz w:val="32"/>
          <w:szCs w:val="32"/>
        </w:rPr>
        <w:t>中国税务学会学术委员会委员、中国注册税务师协会教育培训委员会副主任委员、中国社会科学院大学硕士研究生导师、国家税务总局税务干部学院原副院长。撰写《论企业特殊性重组资产计税基础的确认原则》《递延纳税确认原则及其税收效应分析》等学术论文数十篇；出版《企业所得税实务》《企业所得税纳税申报表操作实务与风险管理》《企业所得税疑难问题解析与相关法律问题衔接》及《政府PPP项目会计与税收实务》等书籍十余部。</w:t>
      </w:r>
    </w:p>
    <w:p>
      <w:pPr>
        <w:pStyle w:val="12"/>
        <w:rPr>
          <w:rFonts w:hint="eastAsia" w:ascii="仿宋_GB2312" w:hAnsi="仿宋" w:eastAsia="仿宋_GB2312"/>
          <w:color w:val="000000"/>
          <w:sz w:val="32"/>
          <w:szCs w:val="32"/>
        </w:rPr>
      </w:pPr>
      <w:r>
        <w:rPr>
          <w:rFonts w:hint="eastAsia" w:ascii="仿宋_GB2312" w:hAnsi="仿宋" w:eastAsia="仿宋_GB2312"/>
          <w:b/>
          <w:bCs/>
          <w:color w:val="000000"/>
          <w:sz w:val="32"/>
          <w:szCs w:val="32"/>
        </w:rPr>
        <w:t>葛老师</w:t>
      </w:r>
      <w:r>
        <w:rPr>
          <w:rFonts w:hint="eastAsia" w:ascii="仿宋_GB2312" w:hAnsi="仿宋" w:eastAsia="仿宋_GB2312"/>
          <w:color w:val="000000"/>
          <w:sz w:val="32"/>
          <w:szCs w:val="32"/>
        </w:rPr>
        <w:t>：</w:t>
      </w:r>
      <w:r>
        <w:rPr>
          <w:rFonts w:ascii="仿宋_GB2312" w:hAnsi="仿宋" w:eastAsia="仿宋_GB2312"/>
          <w:color w:val="000000"/>
          <w:sz w:val="32"/>
          <w:szCs w:val="32"/>
        </w:rPr>
        <w:t>经济学博士，上海国家会计学院教研部副教授、硕士生导师，应用经济系主任，“一带一路”会计研究中心秘书长；2019年12月-2021年1月于财政部条法司挂职。亚利桑那州立大学凯瑞商学院访问学者在《税务研究》等期刊发表论文多篇，出版专著一部，荣获“第十一届上海市决策咨询研究成果奖”等多项奖励。</w:t>
      </w:r>
    </w:p>
    <w:p>
      <w:pPr>
        <w:widowControl/>
        <w:spacing w:line="360" w:lineRule="auto"/>
        <w:rPr>
          <w:rFonts w:hint="eastAsia" w:ascii="仿宋_GB2312" w:hAnsi="仿宋" w:eastAsia="仿宋_GB2312" w:cs="Times New Roman"/>
          <w:color w:val="000000"/>
          <w:sz w:val="32"/>
          <w:szCs w:val="32"/>
        </w:rPr>
      </w:pPr>
      <w:bookmarkStart w:id="0" w:name="_GoBack"/>
      <w:bookmarkEnd w:id="0"/>
      <w:r>
        <w:rPr>
          <w:rFonts w:hint="eastAsia" w:ascii="仿宋_GB2312" w:hAnsi="仿宋" w:eastAsia="仿宋_GB2312" w:cs="Times New Roman"/>
          <w:color w:val="000000"/>
          <w:sz w:val="32"/>
          <w:szCs w:val="32"/>
        </w:rPr>
        <w:t>以及其他资深实务专家。</w:t>
      </w:r>
    </w:p>
    <w:p>
      <w:pPr>
        <w:spacing w:line="360" w:lineRule="auto"/>
        <w:ind w:left="321" w:hanging="321" w:hangingChars="100"/>
        <w:rPr>
          <w:rFonts w:hint="eastAsia" w:ascii="仿宋_GB2312" w:hAnsi="仿宋" w:eastAsia="仿宋_GB2312"/>
          <w:b/>
          <w:sz w:val="32"/>
          <w:szCs w:val="32"/>
        </w:rPr>
      </w:pPr>
      <w:r>
        <w:rPr>
          <w:rFonts w:hint="eastAsia" w:ascii="仿宋_GB2312" w:hAnsi="仿宋" w:eastAsia="仿宋_GB2312"/>
          <w:b/>
          <w:sz w:val="32"/>
          <w:szCs w:val="32"/>
        </w:rPr>
        <w:t>六、收费标准</w:t>
      </w:r>
    </w:p>
    <w:p>
      <w:pPr>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1.培训费：3980元/人。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2.食宿统一安排，费用自理，具体费用标准以开课通知为准。</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pPr>
        <w:spacing w:line="360" w:lineRule="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七、结业证书</w:t>
      </w:r>
    </w:p>
    <w:p>
      <w:pPr>
        <w:spacing w:line="360" w:lineRule="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培训班结束后由学院颁发结业证书，并</w:t>
      </w:r>
      <w:r>
        <w:rPr>
          <w:rFonts w:hint="eastAsia" w:ascii="仿宋_GB2312" w:hAnsi="宋体" w:eastAsia="仿宋_GB2312"/>
          <w:color w:val="000000" w:themeColor="text1"/>
          <w:sz w:val="32"/>
          <w:szCs w:val="32"/>
          <w14:textFill>
            <w14:solidFill>
              <w14:schemeClr w14:val="tx1"/>
            </w14:solidFill>
          </w14:textFill>
        </w:rPr>
        <w:t>注明学时。但是否可以作为继续教育学时，烦请学员咨询当地主管部门。</w:t>
      </w:r>
    </w:p>
    <w:p>
      <w:pPr>
        <w:widowControl/>
        <w:spacing w:line="360" w:lineRule="auto"/>
        <w:ind w:left="643" w:hanging="643" w:hangingChars="200"/>
        <w:jc w:val="left"/>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八、报名咨询</w:t>
      </w:r>
    </w:p>
    <w:p>
      <w:pPr>
        <w:widowControl/>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请参加人员按要求填写《报名回执表》（附后），报承办单位；我们将在开课前一周向报名学员发送《报到通知》。</w:t>
      </w:r>
    </w:p>
    <w:p>
      <w:pPr>
        <w:spacing w:line="360" w:lineRule="auto"/>
        <w:rPr>
          <w:rFonts w:hint="eastAsia" w:ascii="仿宋_GB2312" w:hAnsi="宋体" w:eastAsia="仿宋_GB2312"/>
          <w:sz w:val="32"/>
          <w:szCs w:val="32"/>
        </w:rPr>
      </w:pPr>
      <w:r>
        <w:rPr>
          <w:rFonts w:hint="eastAsia" w:ascii="仿宋_GB2312" w:hAnsi="宋体" w:eastAsia="仿宋_GB2312"/>
          <w:sz w:val="32"/>
          <w:szCs w:val="32"/>
          <w:lang w:eastAsia="zh-Hans"/>
        </w:rPr>
        <w:t>报名</w:t>
      </w:r>
      <w:r>
        <w:rPr>
          <w:rFonts w:hint="eastAsia" w:ascii="仿宋_GB2312" w:hAnsi="宋体" w:eastAsia="仿宋_GB2312"/>
          <w:sz w:val="32"/>
          <w:szCs w:val="32"/>
        </w:rPr>
        <w:t>联系</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pPr>
        <w:spacing w:line="360" w:lineRule="auto"/>
        <w:rPr>
          <w:rFonts w:hint="eastAsia" w:ascii="仿宋_GB2312" w:hAnsi="仿宋" w:eastAsia="仿宋_GB2312"/>
          <w:sz w:val="32"/>
          <w:szCs w:val="32"/>
          <w:lang w:eastAsia="zh-Hans"/>
        </w:rPr>
      </w:pPr>
      <w:r>
        <w:rPr>
          <w:rFonts w:hint="eastAsia" w:ascii="仿宋_GB2312" w:hAnsi="仿宋" w:eastAsia="仿宋_GB2312"/>
          <w:sz w:val="32"/>
          <w:szCs w:val="32"/>
          <w:lang w:eastAsia="zh-Hans"/>
        </w:rPr>
        <w:t>邮箱</w:t>
      </w:r>
      <w:r>
        <w:rPr>
          <w:rFonts w:ascii="仿宋_GB2312" w:hAnsi="仿宋" w:eastAsia="仿宋_GB2312"/>
          <w:sz w:val="32"/>
          <w:szCs w:val="32"/>
          <w:lang w:eastAsia="zh-Hans"/>
        </w:rPr>
        <w:t>：</w:t>
      </w:r>
      <w:r>
        <w:fldChar w:fldCharType="begin"/>
      </w:r>
      <w:r>
        <w:instrText xml:space="preserve"> HYPERLINK "mailto:284828890@qq.com" </w:instrText>
      </w:r>
      <w:r>
        <w:fldChar w:fldCharType="separate"/>
      </w:r>
      <w:r>
        <w:rPr>
          <w:rFonts w:hint="eastAsia" w:ascii="仿宋_GB2312" w:hAnsi="仿宋" w:eastAsia="仿宋_GB2312"/>
          <w:sz w:val="32"/>
          <w:szCs w:val="32"/>
          <w:lang w:eastAsia="zh-Hans"/>
        </w:rPr>
        <w:t>284828890@qq.com</w:t>
      </w:r>
      <w:r>
        <w:rPr>
          <w:rFonts w:hint="eastAsia" w:ascii="仿宋_GB2312" w:hAnsi="仿宋" w:eastAsia="仿宋_GB2312"/>
          <w:sz w:val="32"/>
          <w:szCs w:val="32"/>
          <w:lang w:eastAsia="zh-Hans"/>
        </w:rPr>
        <w:fldChar w:fldCharType="end"/>
      </w:r>
    </w:p>
    <w:p>
      <w:pPr>
        <w:spacing w:line="360" w:lineRule="auto"/>
        <w:rPr>
          <w:rFonts w:hint="eastAsia" w:ascii="仿宋_GB2312" w:hAnsi="仿宋" w:eastAsia="仿宋_GB2312"/>
          <w:sz w:val="32"/>
          <w:szCs w:val="32"/>
          <w:lang w:eastAsia="zh-Hans"/>
        </w:rPr>
      </w:pPr>
      <w:r>
        <w:rPr>
          <w:rFonts w:hint="eastAsia" w:ascii="仿宋_GB2312" w:hAnsi="仿宋" w:eastAsia="仿宋_GB2312"/>
          <w:sz w:val="32"/>
          <w:szCs w:val="32"/>
          <w:lang w:eastAsia="zh-Hans"/>
        </w:rPr>
        <w:t>课程咨询</w:t>
      </w:r>
    </w:p>
    <w:p>
      <w:pPr>
        <w:spacing w:line="360" w:lineRule="auto"/>
        <w:rPr>
          <w:rFonts w:hint="eastAsia" w:ascii="仿宋_GB2312" w:hAnsi="仿宋" w:eastAsia="仿宋_GB2312"/>
          <w:sz w:val="32"/>
          <w:szCs w:val="32"/>
        </w:rPr>
      </w:pPr>
      <w:r>
        <w:rPr>
          <w:rFonts w:hint="eastAsia" w:ascii="仿宋_GB2312" w:hAnsi="仿宋" w:eastAsia="仿宋_GB2312"/>
          <w:sz w:val="32"/>
          <w:szCs w:val="32"/>
          <w:lang w:eastAsia="zh-Hans"/>
        </w:rPr>
        <w:t>联系人</w:t>
      </w:r>
      <w:r>
        <w:rPr>
          <w:rFonts w:ascii="仿宋_GB2312" w:hAnsi="仿宋" w:eastAsia="仿宋_GB2312"/>
          <w:sz w:val="32"/>
          <w:szCs w:val="32"/>
          <w:lang w:eastAsia="zh-Hans"/>
        </w:rPr>
        <w:t>：</w:t>
      </w:r>
      <w:r>
        <w:rPr>
          <w:rFonts w:hint="eastAsia" w:ascii="仿宋_GB2312" w:hAnsi="仿宋" w:eastAsia="仿宋_GB2312"/>
          <w:sz w:val="32"/>
          <w:szCs w:val="32"/>
        </w:rPr>
        <w:t>马</w:t>
      </w:r>
      <w:r>
        <w:rPr>
          <w:rFonts w:hint="eastAsia" w:ascii="仿宋_GB2312" w:hAnsi="仿宋" w:eastAsia="仿宋_GB2312"/>
          <w:sz w:val="32"/>
          <w:szCs w:val="32"/>
          <w:lang w:eastAsia="zh-Hans"/>
        </w:rPr>
        <w:t>老师021-39768</w:t>
      </w:r>
      <w:r>
        <w:rPr>
          <w:rFonts w:hint="eastAsia" w:ascii="仿宋_GB2312" w:hAnsi="仿宋" w:eastAsia="仿宋_GB2312"/>
          <w:sz w:val="32"/>
          <w:szCs w:val="32"/>
        </w:rPr>
        <w:t>388</w:t>
      </w:r>
    </w:p>
    <w:p>
      <w:pPr>
        <w:spacing w:line="360" w:lineRule="auto"/>
        <w:rPr>
          <w:rFonts w:hint="eastAsia" w:ascii="仿宋_GB2312" w:hAnsi="仿宋" w:eastAsia="仿宋_GB2312"/>
          <w:sz w:val="32"/>
          <w:szCs w:val="32"/>
          <w:lang w:eastAsia="zh-Hans"/>
        </w:rPr>
      </w:pPr>
      <w:r>
        <w:rPr>
          <w:rFonts w:hint="eastAsia" w:ascii="仿宋_GB2312" w:hAnsi="仿宋" w:eastAsia="仿宋_GB2312"/>
          <w:sz w:val="32"/>
          <w:szCs w:val="32"/>
          <w:lang w:eastAsia="zh-Hans"/>
        </w:rPr>
        <w:t>邮箱：</w:t>
      </w:r>
      <w:r>
        <w:fldChar w:fldCharType="begin"/>
      </w:r>
      <w:r>
        <w:instrText xml:space="preserve"> HYPERLINK "mailto:maxiaochu@snai.edu" </w:instrText>
      </w:r>
      <w:r>
        <w:fldChar w:fldCharType="separate"/>
      </w:r>
      <w:r>
        <w:rPr>
          <w:rStyle w:val="8"/>
          <w:rFonts w:hint="eastAsia" w:ascii="仿宋_GB2312" w:hAnsi="仿宋" w:eastAsia="仿宋_GB2312"/>
          <w:sz w:val="32"/>
          <w:szCs w:val="32"/>
        </w:rPr>
        <w:t>maxiaochu</w:t>
      </w:r>
      <w:r>
        <w:rPr>
          <w:rStyle w:val="8"/>
          <w:rFonts w:hint="eastAsia" w:ascii="仿宋_GB2312" w:hAnsi="仿宋" w:eastAsia="仿宋_GB2312"/>
          <w:sz w:val="32"/>
          <w:szCs w:val="32"/>
          <w:lang w:eastAsia="zh-Hans"/>
        </w:rPr>
        <w:t>@snai.edu</w:t>
      </w:r>
      <w:r>
        <w:rPr>
          <w:rStyle w:val="8"/>
          <w:rFonts w:hint="eastAsia" w:ascii="仿宋_GB2312" w:hAnsi="仿宋" w:eastAsia="仿宋_GB2312"/>
          <w:sz w:val="32"/>
          <w:szCs w:val="32"/>
          <w:lang w:eastAsia="zh-Hans"/>
        </w:rPr>
        <w:fldChar w:fldCharType="end"/>
      </w:r>
    </w:p>
    <w:p>
      <w:pPr>
        <w:widowControl/>
        <w:tabs>
          <w:tab w:val="center" w:pos="4766"/>
          <w:tab w:val="left" w:pos="6716"/>
        </w:tabs>
        <w:spacing w:line="360" w:lineRule="auto"/>
        <w:rPr>
          <w:rFonts w:hint="eastAsia" w:ascii="仿宋_GB2312" w:hAnsi="仿宋" w:eastAsia="仿宋_GB2312"/>
          <w:b/>
          <w:bCs/>
          <w:sz w:val="32"/>
          <w:szCs w:val="32"/>
        </w:rPr>
      </w:pPr>
      <w:r>
        <w:rPr>
          <w:rFonts w:hint="eastAsia" w:ascii="仿宋_GB2312" w:hAnsi="仿宋" w:eastAsia="仿宋_GB2312"/>
          <w:sz w:val="32"/>
          <w:szCs w:val="32"/>
        </w:rPr>
        <w:t>九、</w:t>
      </w:r>
      <w:r>
        <w:rPr>
          <w:rFonts w:hint="eastAsia" w:ascii="仿宋_GB2312" w:hAnsi="仿宋" w:eastAsia="仿宋_GB2312"/>
          <w:b/>
          <w:bCs/>
          <w:sz w:val="32"/>
          <w:szCs w:val="32"/>
        </w:rPr>
        <w:t>全系列课程招生简章</w:t>
      </w:r>
    </w:p>
    <w:p>
      <w:pPr>
        <w:widowControl/>
        <w:tabs>
          <w:tab w:val="center" w:pos="4766"/>
          <w:tab w:val="left" w:pos="6716"/>
        </w:tabs>
        <w:spacing w:line="360" w:lineRule="auto"/>
        <w:rPr>
          <w:rFonts w:hint="eastAsia" w:ascii="黑体" w:hAnsi="黑体" w:eastAsia="黑体"/>
          <w:b/>
          <w:bCs/>
          <w:color w:val="000000"/>
          <w:sz w:val="32"/>
          <w:szCs w:val="32"/>
        </w:rPr>
      </w:pPr>
      <w:r>
        <w:rPr>
          <w:rFonts w:hint="eastAsia" w:ascii="仿宋_GB2312" w:hAnsi="仿宋" w:eastAsia="仿宋_GB2312"/>
          <w:sz w:val="32"/>
          <w:szCs w:val="32"/>
        </w:rPr>
        <w:t>详情见：</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HYPERLINK "https://mp.weixin.qq.com/s/jfe585Synah1R_TxN7fd_A"</w:instrText>
      </w:r>
      <w:r>
        <w:rPr>
          <w:rFonts w:hint="eastAsia" w:ascii="仿宋_GB2312" w:hAnsi="仿宋" w:eastAsia="仿宋_GB2312"/>
          <w:sz w:val="32"/>
          <w:szCs w:val="32"/>
        </w:rPr>
        <w:fldChar w:fldCharType="separate"/>
      </w:r>
      <w:r>
        <w:rPr>
          <w:rStyle w:val="8"/>
          <w:rFonts w:hint="eastAsia" w:ascii="仿宋_GB2312" w:hAnsi="仿宋" w:eastAsia="仿宋_GB2312"/>
          <w:sz w:val="32"/>
          <w:szCs w:val="32"/>
        </w:rPr>
        <w:t>名师课程：税务专题研修班</w:t>
      </w:r>
      <w:r>
        <w:rPr>
          <w:rFonts w:hint="eastAsia" w:ascii="仿宋_GB2312" w:hAnsi="仿宋" w:eastAsia="仿宋_GB2312"/>
          <w:sz w:val="32"/>
          <w:szCs w:val="32"/>
        </w:rPr>
        <w:fldChar w:fldCharType="end"/>
      </w:r>
    </w:p>
    <w:p>
      <w:pPr>
        <w:widowControl/>
        <w:tabs>
          <w:tab w:val="center" w:pos="4766"/>
          <w:tab w:val="left" w:pos="6716"/>
        </w:tabs>
        <w:spacing w:line="480" w:lineRule="exact"/>
        <w:rPr>
          <w:rFonts w:hint="eastAsia" w:ascii="黑体" w:hAnsi="黑体" w:eastAsia="黑体"/>
          <w:b/>
          <w:bCs/>
          <w:color w:val="000000"/>
          <w:sz w:val="32"/>
          <w:szCs w:val="32"/>
        </w:rPr>
      </w:pPr>
    </w:p>
    <w:p>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上海国家会计学院</w:t>
      </w:r>
    </w:p>
    <w:p>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“名师课程：税务专题之个人所得税税收风险合规管理”培训班报名回执表</w:t>
      </w:r>
    </w:p>
    <w:p>
      <w:pPr>
        <w:widowControl/>
        <w:tabs>
          <w:tab w:val="center" w:pos="4766"/>
          <w:tab w:val="left" w:pos="6716"/>
        </w:tabs>
        <w:spacing w:line="480" w:lineRule="exact"/>
        <w:jc w:val="center"/>
        <w:rPr>
          <w:rFonts w:hint="eastAsia" w:ascii="仿宋_GB2312" w:hAnsi="宋体" w:eastAsia="仿宋_GB2312" w:cs="宋体"/>
          <w:b/>
          <w:bCs/>
          <w:color w:val="000000"/>
          <w:kern w:val="0"/>
          <w:sz w:val="30"/>
          <w:szCs w:val="30"/>
        </w:rPr>
      </w:pP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 xml:space="preserve">黄老师：18610843353（同微信）  邮箱：284828890@qq.com </w:t>
            </w:r>
          </w:p>
        </w:tc>
      </w:tr>
    </w:tbl>
    <w:p>
      <w:pPr>
        <w:rPr>
          <w:rFonts w:hint="eastAsia"/>
        </w:rPr>
      </w:pPr>
    </w:p>
    <w:p>
      <w:pPr>
        <w:widowControl/>
        <w:tabs>
          <w:tab w:val="center" w:pos="4766"/>
          <w:tab w:val="left" w:pos="6716"/>
        </w:tabs>
        <w:spacing w:line="480" w:lineRule="exact"/>
        <w:jc w:val="center"/>
        <w:rPr>
          <w:rFonts w:hint="eastAsia"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93"/>
    <w:rsid w:val="00013A7F"/>
    <w:rsid w:val="00022F9B"/>
    <w:rsid w:val="00034845"/>
    <w:rsid w:val="000409CF"/>
    <w:rsid w:val="00041C2C"/>
    <w:rsid w:val="00051AF9"/>
    <w:rsid w:val="00056DE8"/>
    <w:rsid w:val="000625F4"/>
    <w:rsid w:val="00062ACA"/>
    <w:rsid w:val="00066D3F"/>
    <w:rsid w:val="00067A7E"/>
    <w:rsid w:val="00081FEF"/>
    <w:rsid w:val="000915B2"/>
    <w:rsid w:val="000920EA"/>
    <w:rsid w:val="000A3166"/>
    <w:rsid w:val="000A457B"/>
    <w:rsid w:val="000C7999"/>
    <w:rsid w:val="000D23A6"/>
    <w:rsid w:val="000F00F2"/>
    <w:rsid w:val="00122792"/>
    <w:rsid w:val="00135D5A"/>
    <w:rsid w:val="001444B5"/>
    <w:rsid w:val="00192694"/>
    <w:rsid w:val="001A29DB"/>
    <w:rsid w:val="001A3297"/>
    <w:rsid w:val="001A77D4"/>
    <w:rsid w:val="001A7801"/>
    <w:rsid w:val="001B59C7"/>
    <w:rsid w:val="001C1402"/>
    <w:rsid w:val="001C2BCB"/>
    <w:rsid w:val="001E4AB6"/>
    <w:rsid w:val="001F3A53"/>
    <w:rsid w:val="001F4A75"/>
    <w:rsid w:val="0020791F"/>
    <w:rsid w:val="0021666B"/>
    <w:rsid w:val="00241C3B"/>
    <w:rsid w:val="00241CE5"/>
    <w:rsid w:val="00242032"/>
    <w:rsid w:val="00245BB6"/>
    <w:rsid w:val="0025458E"/>
    <w:rsid w:val="0025496C"/>
    <w:rsid w:val="002628C4"/>
    <w:rsid w:val="00262ACD"/>
    <w:rsid w:val="00291278"/>
    <w:rsid w:val="002A1100"/>
    <w:rsid w:val="002B1033"/>
    <w:rsid w:val="002B64F1"/>
    <w:rsid w:val="002C0FC5"/>
    <w:rsid w:val="002D0121"/>
    <w:rsid w:val="002D2C41"/>
    <w:rsid w:val="00300F17"/>
    <w:rsid w:val="0030581B"/>
    <w:rsid w:val="0031738B"/>
    <w:rsid w:val="0031764E"/>
    <w:rsid w:val="00352DEC"/>
    <w:rsid w:val="00355D43"/>
    <w:rsid w:val="003774E1"/>
    <w:rsid w:val="00394036"/>
    <w:rsid w:val="003A31DF"/>
    <w:rsid w:val="003A3AF6"/>
    <w:rsid w:val="003B759F"/>
    <w:rsid w:val="003B76B0"/>
    <w:rsid w:val="003C42C5"/>
    <w:rsid w:val="003C6886"/>
    <w:rsid w:val="003D41CA"/>
    <w:rsid w:val="003D46EE"/>
    <w:rsid w:val="003F3C73"/>
    <w:rsid w:val="00434790"/>
    <w:rsid w:val="0045107F"/>
    <w:rsid w:val="00461D24"/>
    <w:rsid w:val="004771E2"/>
    <w:rsid w:val="004947B0"/>
    <w:rsid w:val="004A281F"/>
    <w:rsid w:val="004B0BBE"/>
    <w:rsid w:val="004B41CC"/>
    <w:rsid w:val="004C2BA4"/>
    <w:rsid w:val="004D2E98"/>
    <w:rsid w:val="004E42E4"/>
    <w:rsid w:val="004F1993"/>
    <w:rsid w:val="004F1C84"/>
    <w:rsid w:val="004F43E0"/>
    <w:rsid w:val="005053B9"/>
    <w:rsid w:val="00510A31"/>
    <w:rsid w:val="00522719"/>
    <w:rsid w:val="00540EA2"/>
    <w:rsid w:val="0054240F"/>
    <w:rsid w:val="0054796A"/>
    <w:rsid w:val="005675AB"/>
    <w:rsid w:val="005910AA"/>
    <w:rsid w:val="0059117E"/>
    <w:rsid w:val="005957E0"/>
    <w:rsid w:val="005A0A8E"/>
    <w:rsid w:val="005B1943"/>
    <w:rsid w:val="005B6827"/>
    <w:rsid w:val="005B691D"/>
    <w:rsid w:val="005C5FAA"/>
    <w:rsid w:val="005D4A6F"/>
    <w:rsid w:val="005E2260"/>
    <w:rsid w:val="005F1208"/>
    <w:rsid w:val="005F2A39"/>
    <w:rsid w:val="005F4838"/>
    <w:rsid w:val="005F4F93"/>
    <w:rsid w:val="006106FF"/>
    <w:rsid w:val="00621202"/>
    <w:rsid w:val="006238DE"/>
    <w:rsid w:val="00623E35"/>
    <w:rsid w:val="00630D67"/>
    <w:rsid w:val="006541E4"/>
    <w:rsid w:val="00672FB6"/>
    <w:rsid w:val="0067620C"/>
    <w:rsid w:val="006845A4"/>
    <w:rsid w:val="00684EAE"/>
    <w:rsid w:val="00697B2D"/>
    <w:rsid w:val="006A0B3B"/>
    <w:rsid w:val="006A184E"/>
    <w:rsid w:val="006B72DE"/>
    <w:rsid w:val="006C10CD"/>
    <w:rsid w:val="006D0EE8"/>
    <w:rsid w:val="00715FFF"/>
    <w:rsid w:val="00722016"/>
    <w:rsid w:val="00724287"/>
    <w:rsid w:val="0073611D"/>
    <w:rsid w:val="00736FE4"/>
    <w:rsid w:val="00737D35"/>
    <w:rsid w:val="00746859"/>
    <w:rsid w:val="007629CF"/>
    <w:rsid w:val="0076634A"/>
    <w:rsid w:val="00775D5E"/>
    <w:rsid w:val="00794C26"/>
    <w:rsid w:val="007A5763"/>
    <w:rsid w:val="007B2045"/>
    <w:rsid w:val="007E17A8"/>
    <w:rsid w:val="008024BF"/>
    <w:rsid w:val="00810AB6"/>
    <w:rsid w:val="008129C5"/>
    <w:rsid w:val="00822FE5"/>
    <w:rsid w:val="00827CF1"/>
    <w:rsid w:val="00833466"/>
    <w:rsid w:val="00840660"/>
    <w:rsid w:val="0085745E"/>
    <w:rsid w:val="00880139"/>
    <w:rsid w:val="008808D5"/>
    <w:rsid w:val="00890F1B"/>
    <w:rsid w:val="00892E2B"/>
    <w:rsid w:val="008A298E"/>
    <w:rsid w:val="008A59A0"/>
    <w:rsid w:val="008B3215"/>
    <w:rsid w:val="008D1E59"/>
    <w:rsid w:val="008D5D3D"/>
    <w:rsid w:val="008E3BC6"/>
    <w:rsid w:val="008F18BE"/>
    <w:rsid w:val="009032A4"/>
    <w:rsid w:val="009322DB"/>
    <w:rsid w:val="00951E9A"/>
    <w:rsid w:val="00954CFD"/>
    <w:rsid w:val="00962F4F"/>
    <w:rsid w:val="00973B85"/>
    <w:rsid w:val="0098114C"/>
    <w:rsid w:val="009959DF"/>
    <w:rsid w:val="009A29E0"/>
    <w:rsid w:val="009A3726"/>
    <w:rsid w:val="009A7BC0"/>
    <w:rsid w:val="009C24DD"/>
    <w:rsid w:val="009D2F9D"/>
    <w:rsid w:val="00A0599E"/>
    <w:rsid w:val="00A2166F"/>
    <w:rsid w:val="00A22898"/>
    <w:rsid w:val="00A3224A"/>
    <w:rsid w:val="00A41193"/>
    <w:rsid w:val="00A46911"/>
    <w:rsid w:val="00A54459"/>
    <w:rsid w:val="00A6464D"/>
    <w:rsid w:val="00A6661C"/>
    <w:rsid w:val="00A72311"/>
    <w:rsid w:val="00A8429F"/>
    <w:rsid w:val="00A9152B"/>
    <w:rsid w:val="00AA17DE"/>
    <w:rsid w:val="00AB0C73"/>
    <w:rsid w:val="00AB10FD"/>
    <w:rsid w:val="00AB3F76"/>
    <w:rsid w:val="00AB67E8"/>
    <w:rsid w:val="00AB6F01"/>
    <w:rsid w:val="00AC02B5"/>
    <w:rsid w:val="00AC08B6"/>
    <w:rsid w:val="00AC0C8E"/>
    <w:rsid w:val="00AD1498"/>
    <w:rsid w:val="00AE2305"/>
    <w:rsid w:val="00B01877"/>
    <w:rsid w:val="00B074EA"/>
    <w:rsid w:val="00B1361A"/>
    <w:rsid w:val="00B14B95"/>
    <w:rsid w:val="00B400AA"/>
    <w:rsid w:val="00B40ADD"/>
    <w:rsid w:val="00B41E1B"/>
    <w:rsid w:val="00B46965"/>
    <w:rsid w:val="00B53CE1"/>
    <w:rsid w:val="00B618DE"/>
    <w:rsid w:val="00B62AAC"/>
    <w:rsid w:val="00B773C3"/>
    <w:rsid w:val="00BA2EE8"/>
    <w:rsid w:val="00BB1148"/>
    <w:rsid w:val="00BD5B11"/>
    <w:rsid w:val="00C02C70"/>
    <w:rsid w:val="00C37EB5"/>
    <w:rsid w:val="00C44D03"/>
    <w:rsid w:val="00C6097F"/>
    <w:rsid w:val="00C6693F"/>
    <w:rsid w:val="00C73D46"/>
    <w:rsid w:val="00C81EAB"/>
    <w:rsid w:val="00C84D4C"/>
    <w:rsid w:val="00C84DF2"/>
    <w:rsid w:val="00CA13A5"/>
    <w:rsid w:val="00CC5712"/>
    <w:rsid w:val="00CE51D1"/>
    <w:rsid w:val="00CF1816"/>
    <w:rsid w:val="00CF6C15"/>
    <w:rsid w:val="00D02A68"/>
    <w:rsid w:val="00D073DE"/>
    <w:rsid w:val="00D2546A"/>
    <w:rsid w:val="00D2717D"/>
    <w:rsid w:val="00D31062"/>
    <w:rsid w:val="00D34D0E"/>
    <w:rsid w:val="00D37123"/>
    <w:rsid w:val="00D4121C"/>
    <w:rsid w:val="00D4195F"/>
    <w:rsid w:val="00D500D6"/>
    <w:rsid w:val="00D579F9"/>
    <w:rsid w:val="00D6157F"/>
    <w:rsid w:val="00D67C36"/>
    <w:rsid w:val="00D87342"/>
    <w:rsid w:val="00D87426"/>
    <w:rsid w:val="00DA1312"/>
    <w:rsid w:val="00DA6E78"/>
    <w:rsid w:val="00DB5B46"/>
    <w:rsid w:val="00DB7F94"/>
    <w:rsid w:val="00DE31EF"/>
    <w:rsid w:val="00DE5DCA"/>
    <w:rsid w:val="00DF02E9"/>
    <w:rsid w:val="00E10AE5"/>
    <w:rsid w:val="00E179C5"/>
    <w:rsid w:val="00E370C2"/>
    <w:rsid w:val="00E97F1B"/>
    <w:rsid w:val="00EB53E1"/>
    <w:rsid w:val="00EB713A"/>
    <w:rsid w:val="00EC79BF"/>
    <w:rsid w:val="00EE7314"/>
    <w:rsid w:val="00EF0751"/>
    <w:rsid w:val="00EF68BE"/>
    <w:rsid w:val="00F16A77"/>
    <w:rsid w:val="00F23961"/>
    <w:rsid w:val="00F8564A"/>
    <w:rsid w:val="00F86CA3"/>
    <w:rsid w:val="00F871CC"/>
    <w:rsid w:val="00F9566D"/>
    <w:rsid w:val="00F97596"/>
    <w:rsid w:val="00FA3AAB"/>
    <w:rsid w:val="00FB3DD4"/>
    <w:rsid w:val="00FD3114"/>
    <w:rsid w:val="00FF093E"/>
    <w:rsid w:val="00FF6661"/>
    <w:rsid w:val="00FF7825"/>
    <w:rsid w:val="0AEF55ED"/>
    <w:rsid w:val="113027C8"/>
    <w:rsid w:val="19955310"/>
    <w:rsid w:val="19F708C6"/>
    <w:rsid w:val="25A16A1E"/>
    <w:rsid w:val="2934005A"/>
    <w:rsid w:val="334F1189"/>
    <w:rsid w:val="36AC7367"/>
    <w:rsid w:val="37AF3E4C"/>
    <w:rsid w:val="3BDD1251"/>
    <w:rsid w:val="5840143B"/>
    <w:rsid w:val="5E9B7F2D"/>
    <w:rsid w:val="5F7764B0"/>
    <w:rsid w:val="626B0D43"/>
    <w:rsid w:val="6E8E18C3"/>
    <w:rsid w:val="6EC14FC1"/>
    <w:rsid w:val="718D3B55"/>
    <w:rsid w:val="75F2361E"/>
    <w:rsid w:val="76056F12"/>
    <w:rsid w:val="78C3334F"/>
    <w:rsid w:val="79CB62A3"/>
    <w:rsid w:val="7FFDD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link w:val="15"/>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7"/>
    <w:link w:val="2"/>
    <w:semiHidden/>
    <w:qFormat/>
    <w:uiPriority w:val="99"/>
    <w:rPr>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无间隔 字符"/>
    <w:link w:val="12"/>
    <w:qFormat/>
    <w:uiPriority w:val="1"/>
    <w:rPr>
      <w:rFonts w:ascii="Calibri" w:hAnsi="Calibri"/>
      <w:kern w:val="2"/>
      <w:sz w:val="21"/>
      <w:szCs w:val="22"/>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3320</Words>
  <Characters>3539</Characters>
  <Lines>27</Lines>
  <Paragraphs>7</Paragraphs>
  <TotalTime>44</TotalTime>
  <ScaleCrop>false</ScaleCrop>
  <LinksUpToDate>false</LinksUpToDate>
  <CharactersWithSpaces>3560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2025-05-08T22:31:00Z</dcterms:created>
  <dc:creator>huang dong'gen</dc:creator>
  <cp:lastModifiedBy>Daydream</cp:lastModifiedBy>
  <dcterms:modified xsi:type="dcterms:W3CDTF">2025-05-19T09:11:50Z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12F52660B8914DB396CDBACB8B3786B7_13</vt:lpwstr>
  </property>
  <property fmtid="{D5CDD505-2E9C-101B-9397-08002B2CF9AE}" pid="4" name="KSOTemplateDocerSaveRecord">
    <vt:lpwstr>eyJoZGlkIjoiYmM3ZDExZmIxNzA0YjNhYzI5NTRlYjJjYTFlNTE2ZGIiLCJ1c2VySWQiOiIxNDczNTgxMzkxIn0=</vt:lpwstr>
  </property>
</Properties>
</file>