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distribute"/>
        <w:rPr>
          <w:rFonts w:hint="eastAsia" w:ascii="Kaiti SC" w:hAnsi="Kaiti SC" w:eastAsia="Kaiti SC" w:cs="楷体"/>
          <w:b/>
          <w:bCs/>
          <w:color w:val="FF3300"/>
          <w:spacing w:val="-40"/>
          <w:sz w:val="96"/>
          <w:szCs w:val="96"/>
        </w:rPr>
      </w:pPr>
    </w:p>
    <w:p>
      <w:pPr>
        <w:spacing w:line="360" w:lineRule="auto"/>
        <w:jc w:val="center"/>
        <w:rPr>
          <w:rFonts w:hint="eastAsia" w:ascii="宋体" w:hAnsi="宋体"/>
          <w:b/>
          <w:bCs/>
          <w:color w:val="FF3300"/>
          <w:spacing w:val="-40"/>
          <w:sz w:val="84"/>
          <w:szCs w:val="84"/>
        </w:rPr>
      </w:pPr>
      <w:r>
        <w:rPr>
          <w:rFonts w:hint="eastAsia" w:ascii="宋体" w:hAnsi="宋体"/>
          <w:b/>
          <w:bCs/>
          <w:color w:val="FF3300"/>
          <w:spacing w:val="-40"/>
          <w:sz w:val="84"/>
          <w:szCs w:val="84"/>
        </w:rPr>
        <w:t>上海国家会计学院</w:t>
      </w:r>
    </w:p>
    <w:p>
      <w:pPr>
        <w:spacing w:line="360" w:lineRule="auto"/>
        <w:rPr>
          <w:rFonts w:hint="eastAsia" w:ascii="Songti SC" w:hAnsi="Songti SC" w:eastAsia="Songti SC"/>
          <w:b/>
          <w:bCs/>
          <w:sz w:val="11"/>
        </w:rPr>
      </w:pPr>
    </w:p>
    <w:p>
      <w:pPr>
        <w:spacing w:line="360" w:lineRule="auto"/>
        <w:jc w:val="center"/>
        <w:rPr>
          <w:rFonts w:hint="eastAsia" w:cs="微软雅黑" w:asciiTheme="minorEastAsia" w:hAnsiTheme="minorEastAsia"/>
          <w:bCs/>
          <w:sz w:val="32"/>
          <w:szCs w:val="32"/>
        </w:rPr>
      </w:pPr>
      <w:r>
        <w:rPr>
          <w:rFonts w:hint="eastAsia" w:cs="楷体" w:asciiTheme="minorEastAsia" w:hAnsiTheme="minorEastAsia"/>
          <w:bCs/>
          <w:sz w:val="32"/>
          <w:szCs w:val="32"/>
        </w:rPr>
        <w:t xml:space="preserve"> </w:t>
      </w:r>
      <w:r>
        <w:rPr>
          <w:rFonts w:hint="eastAsia" w:cs="微软雅黑" w:asciiTheme="minorEastAsia" w:hAnsiTheme="minorEastAsia"/>
          <w:bCs/>
          <w:sz w:val="32"/>
          <w:szCs w:val="32"/>
        </w:rPr>
        <w:t xml:space="preserve">  上国会培〔20</w:t>
      </w:r>
      <w:r>
        <w:rPr>
          <w:rFonts w:cs="微软雅黑" w:asciiTheme="minorEastAsia" w:hAnsiTheme="minorEastAsia"/>
          <w:bCs/>
          <w:sz w:val="32"/>
          <w:szCs w:val="32"/>
        </w:rPr>
        <w:t>2</w:t>
      </w:r>
      <w:r>
        <w:rPr>
          <w:rFonts w:hint="eastAsia" w:cs="微软雅黑" w:asciiTheme="minorEastAsia" w:hAnsiTheme="minorEastAsia"/>
          <w:bCs/>
          <w:sz w:val="32"/>
          <w:szCs w:val="32"/>
        </w:rPr>
        <w:t>5〕</w:t>
      </w:r>
      <w:r>
        <w:rPr>
          <w:rFonts w:cs="微软雅黑" w:asciiTheme="minorEastAsia" w:hAnsiTheme="minorEastAsia"/>
          <w:bCs/>
          <w:sz w:val="32"/>
          <w:szCs w:val="32"/>
        </w:rPr>
        <w:t>25</w:t>
      </w:r>
      <w:r>
        <w:rPr>
          <w:rFonts w:hint="eastAsia" w:cs="微软雅黑" w:asciiTheme="minorEastAsia" w:hAnsiTheme="minorEastAsia"/>
          <w:bCs/>
          <w:sz w:val="32"/>
          <w:szCs w:val="32"/>
        </w:rPr>
        <w:t>号</w:t>
      </w:r>
    </w:p>
    <w:p>
      <w:pPr>
        <w:spacing w:line="360" w:lineRule="auto"/>
        <w:jc w:val="center"/>
        <w:rPr>
          <w:rFonts w:hint="eastAsia" w:ascii="仿宋_GB2312" w:hAnsi="楷体" w:eastAsia="仿宋_GB2312" w:cs="楷体"/>
          <w:b/>
          <w:bCs/>
          <w:sz w:val="20"/>
          <w:szCs w:val="18"/>
        </w:rPr>
      </w:pPr>
      <w:r>
        <w:rPr>
          <w:rFonts w:ascii="仿宋_GB2312" w:eastAsia="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283210</wp:posOffset>
                </wp:positionV>
                <wp:extent cx="5461635" cy="13970"/>
                <wp:effectExtent l="12700" t="12700" r="12065" b="11430"/>
                <wp:wrapNone/>
                <wp:docPr id="3" name="Line 4"/>
                <wp:cNvGraphicFramePr/>
                <a:graphic xmlns:a="http://schemas.openxmlformats.org/drawingml/2006/main">
                  <a:graphicData uri="http://schemas.microsoft.com/office/word/2010/wordprocessingShape">
                    <wps:wsp>
                      <wps:cNvCnPr/>
                      <wps:spPr bwMode="auto">
                        <a:xfrm flipV="1">
                          <a:off x="0" y="0"/>
                          <a:ext cx="5461635" cy="13970"/>
                        </a:xfrm>
                        <a:prstGeom prst="line">
                          <a:avLst/>
                        </a:prstGeom>
                        <a:noFill/>
                        <a:ln w="25400">
                          <a:solidFill>
                            <a:srgbClr val="FF0000"/>
                          </a:solidFill>
                          <a:round/>
                        </a:ln>
                      </wps:spPr>
                      <wps:bodyPr/>
                    </wps:wsp>
                  </a:graphicData>
                </a:graphic>
              </wp:anchor>
            </w:drawing>
          </mc:Choice>
          <mc:Fallback>
            <w:pict>
              <v:line id="Line 4" o:spid="_x0000_s1026" o:spt="20" style="position:absolute;left:0pt;flip:y;margin-left:-9.75pt;margin-top:22.3pt;height:1.1pt;width:430.05pt;z-index:251659264;mso-width-relative:page;mso-height-relative:page;" filled="f" stroked="t" coordsize="21600,21600" o:gfxdata="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hhJQAtUAAAAJAQAADwAAAAAAAAABACAAAAA4&#10;AAAAZHJzL2Rvd25yZXYueG1sUEsBAhQAFAAAAAgAh07iQFKKWLu+AQAAfAMAAA4AAAAAAAAAAQAg&#10;AAAAOgEAAGRycy9lMm9Eb2MueG1sUEsFBgAAAAAGAAYAWQEAAGoFAAAAAA==&#10;">
                <v:fill on="f" focussize="0,0"/>
                <v:stroke weight="2pt" color="#FF0000" joinstyle="round"/>
                <v:imagedata o:title=""/>
                <o:lock v:ext="edit" aspectratio="f"/>
              </v:line>
            </w:pict>
          </mc:Fallback>
        </mc:AlternateContent>
      </w:r>
    </w:p>
    <w:p>
      <w:pPr>
        <w:spacing w:line="360" w:lineRule="auto"/>
        <w:jc w:val="center"/>
        <w:rPr>
          <w:rFonts w:hint="eastAsia" w:ascii="宋体" w:hAnsi="宋体" w:eastAsia="宋体" w:cs="Times New Roman"/>
          <w:b/>
          <w:sz w:val="44"/>
          <w:szCs w:val="44"/>
        </w:rPr>
      </w:pPr>
    </w:p>
    <w:p>
      <w:pPr>
        <w:spacing w:line="360" w:lineRule="auto"/>
        <w:jc w:val="center"/>
        <w:rPr>
          <w:rFonts w:hint="eastAsia" w:ascii="宋体" w:hAnsi="宋体" w:eastAsia="宋体" w:cs="Times New Roman"/>
          <w:b/>
          <w:sz w:val="36"/>
          <w:szCs w:val="36"/>
        </w:rPr>
      </w:pPr>
      <w:r>
        <w:rPr>
          <w:rFonts w:hint="eastAsia" w:ascii="宋体" w:hAnsi="宋体" w:eastAsia="宋体" w:cs="Times New Roman"/>
          <w:b/>
          <w:sz w:val="36"/>
          <w:szCs w:val="36"/>
        </w:rPr>
        <w:t>关于举办“现金流与营运资本管理”</w:t>
      </w:r>
    </w:p>
    <w:p>
      <w:pPr>
        <w:spacing w:line="360" w:lineRule="auto"/>
        <w:jc w:val="center"/>
        <w:rPr>
          <w:rFonts w:hint="eastAsia" w:ascii="宋体" w:hAnsi="宋体" w:eastAsia="宋体" w:cs="Times New Roman"/>
          <w:b/>
          <w:sz w:val="36"/>
          <w:szCs w:val="36"/>
        </w:rPr>
      </w:pPr>
      <w:r>
        <w:rPr>
          <w:rFonts w:hint="eastAsia" w:ascii="宋体" w:hAnsi="宋体" w:eastAsia="宋体" w:cs="Times New Roman"/>
          <w:b/>
          <w:sz w:val="36"/>
          <w:szCs w:val="36"/>
        </w:rPr>
        <w:t>研修班的通知</w:t>
      </w:r>
    </w:p>
    <w:p>
      <w:pPr>
        <w:jc w:val="center"/>
        <w:rPr>
          <w:b/>
          <w:sz w:val="28"/>
          <w:szCs w:val="28"/>
        </w:rPr>
      </w:pPr>
    </w:p>
    <w:p>
      <w:pPr>
        <w:spacing w:line="360" w:lineRule="auto"/>
        <w:rPr>
          <w:rFonts w:hint="eastAsia" w:ascii="仿宋_GB2312" w:eastAsia="仿宋_GB2312" w:hAnsiTheme="minorEastAsia"/>
          <w:sz w:val="32"/>
          <w:szCs w:val="32"/>
        </w:rPr>
      </w:pPr>
      <w:r>
        <w:rPr>
          <w:rFonts w:hint="eastAsia" w:ascii="仿宋_GB2312" w:eastAsia="仿宋_GB2312" w:hAnsiTheme="minorEastAsia"/>
          <w:sz w:val="32"/>
          <w:szCs w:val="32"/>
        </w:rPr>
        <w:t>各相关单位：</w:t>
      </w:r>
    </w:p>
    <w:p>
      <w:pPr>
        <w:spacing w:line="360" w:lineRule="auto"/>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现金流是公司生存与发展的血液和生命线，资本是企业实现战略目标和防范财务风险的基础和保障。公司的运转本质上就是资金的平衡周转和保值增值的动态过程。在产业升级、技术创新周期加速迭代和全球化竞争日益加剧的大背景下，外部不确定性成为公司战略和财务管理的最大挑战和机遇之源，有效的现金流与资本风险管理不仅可以保障公司生产经营活动的正常进行，防范流动性风险，实现企业内涵式发展与外延式扩张，更可以通过金融创新技术手段，构建基于资金运营的新利润增长点，为公司创造更多的财富和价值。</w:t>
      </w:r>
    </w:p>
    <w:p>
      <w:pPr>
        <w:spacing w:line="360" w:lineRule="auto"/>
        <w:ind w:firstLine="480"/>
        <w:rPr>
          <w:rFonts w:hint="eastAsia" w:ascii="仿宋_GB2312" w:eastAsia="仿宋_GB2312" w:hAnsiTheme="minorEastAsia"/>
          <w:sz w:val="32"/>
          <w:szCs w:val="32"/>
        </w:rPr>
      </w:pPr>
      <w:r>
        <w:rPr>
          <w:rFonts w:hint="eastAsia" w:ascii="仿宋_GB2312" w:eastAsia="仿宋_GB2312" w:hAnsiTheme="minorEastAsia"/>
          <w:sz w:val="32"/>
          <w:szCs w:val="32"/>
        </w:rPr>
        <w:t>有效的现金流与营运资本管理必须落实到以下各个核心环节：1）树立现金流动态平衡意识，通过搭建现金池平台，减少资金闲置；2）树立金融市场化意识，拓展融资平台，保证资金来源的通畅；3）树立资金成本意识，有效降低资金成本，加速资金周转率；4）树立资本运营意识，通过资金运营和风险资本配置策略，提升价值创造潜力；5）树立财务风险意识，加强流动性风险和风险资本双重约束，防范债务风险。</w:t>
      </w:r>
    </w:p>
    <w:p>
      <w:pPr>
        <w:spacing w:line="360" w:lineRule="auto"/>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本课程从实务角度出发，构建了全新的公司现金流管理与风险监控框架体系。基于“财务创造价值，价值来源于对风险与收益的不对称性管理”的理念，提出了“通过资金运营构建公司新利润增长点”的新理念，强调资金运作的安全性和盈利性的有效结合，突出资金集中管理和资金运营在公司财务管理中的重要性及其应用要点。</w:t>
      </w:r>
    </w:p>
    <w:p>
      <w:pPr>
        <w:widowControl/>
        <w:spacing w:line="360" w:lineRule="auto"/>
        <w:ind w:firstLine="640" w:firstLineChars="200"/>
        <w:jc w:val="left"/>
        <w:rPr>
          <w:rFonts w:hint="eastAsia" w:ascii="仿宋_GB2312" w:hAnsi="宋体" w:eastAsia="仿宋_GB2312" w:cs="微软雅黑"/>
          <w:sz w:val="32"/>
          <w:szCs w:val="32"/>
        </w:rPr>
      </w:pPr>
      <w:r>
        <w:rPr>
          <w:rFonts w:hint="eastAsia" w:ascii="仿宋_GB2312" w:hAnsi="宋体" w:eastAsia="仿宋_GB2312" w:cs="微软雅黑"/>
          <w:sz w:val="32"/>
          <w:szCs w:val="32"/>
        </w:rPr>
        <w:t>附件：一、课程简介</w:t>
      </w:r>
    </w:p>
    <w:p>
      <w:pPr>
        <w:widowControl/>
        <w:spacing w:line="360" w:lineRule="auto"/>
        <w:ind w:firstLine="1600" w:firstLineChars="500"/>
        <w:jc w:val="left"/>
        <w:rPr>
          <w:rFonts w:hint="eastAsia" w:ascii="仿宋_GB2312" w:hAnsi="宋体" w:eastAsia="仿宋_GB2312" w:cs="微软雅黑"/>
          <w:sz w:val="32"/>
          <w:szCs w:val="32"/>
        </w:rPr>
      </w:pPr>
      <w:r>
        <w:rPr>
          <w:rFonts w:hint="eastAsia" w:ascii="仿宋_GB2312" w:hAnsi="宋体" w:eastAsia="仿宋_GB2312" w:cs="微软雅黑"/>
          <w:sz w:val="32"/>
          <w:szCs w:val="32"/>
        </w:rPr>
        <w:t>二、报名回执表</w:t>
      </w:r>
    </w:p>
    <w:p>
      <w:pPr>
        <w:spacing w:line="360" w:lineRule="auto"/>
        <w:rPr>
          <w:rFonts w:hint="eastAsia" w:ascii="仿宋_GB2312" w:hAnsi="宋体" w:eastAsia="仿宋_GB2312" w:cs="微软雅黑"/>
          <w:sz w:val="32"/>
          <w:szCs w:val="32"/>
        </w:rPr>
      </w:pPr>
    </w:p>
    <w:p>
      <w:pPr>
        <w:spacing w:line="360" w:lineRule="auto"/>
        <w:rPr>
          <w:rFonts w:hint="eastAsia" w:ascii="仿宋_GB2312" w:hAnsi="宋体" w:eastAsia="仿宋_GB2312" w:cs="微软雅黑"/>
          <w:sz w:val="32"/>
          <w:szCs w:val="32"/>
        </w:rPr>
      </w:pPr>
    </w:p>
    <w:p>
      <w:pPr>
        <w:spacing w:line="360" w:lineRule="auto"/>
        <w:jc w:val="right"/>
        <w:rPr>
          <w:rFonts w:hint="eastAsia" w:ascii="仿宋_GB2312" w:hAnsi="宋体" w:eastAsia="仿宋_GB2312" w:cs="微软雅黑"/>
          <w:sz w:val="32"/>
          <w:szCs w:val="32"/>
        </w:rPr>
      </w:pPr>
      <w:r>
        <w:rPr>
          <w:rFonts w:hint="eastAsia" w:ascii="仿宋_GB2312" w:hAnsi="宋体" w:eastAsia="仿宋_GB2312" w:cs="微软雅黑"/>
          <w:sz w:val="32"/>
          <w:szCs w:val="32"/>
        </w:rPr>
        <w:t>上海国家会计学院</w:t>
      </w:r>
    </w:p>
    <w:p>
      <w:pPr>
        <w:spacing w:line="360" w:lineRule="auto"/>
        <w:jc w:val="right"/>
        <w:rPr>
          <w:rFonts w:hint="eastAsia" w:ascii="仿宋_GB2312" w:hAnsi="宋体" w:eastAsia="仿宋_GB2312" w:cs="微软雅黑"/>
          <w:sz w:val="32"/>
          <w:szCs w:val="32"/>
        </w:rPr>
      </w:pPr>
      <w:r>
        <w:rPr>
          <w:rFonts w:hint="eastAsia" w:ascii="仿宋_GB2312" w:hAnsi="宋体" w:eastAsia="仿宋_GB2312" w:cs="Times New Roman"/>
          <w:sz w:val="32"/>
          <w:szCs w:val="32"/>
        </w:rPr>
        <w:t>教务二部</w:t>
      </w:r>
    </w:p>
    <w:p>
      <w:pPr>
        <w:spacing w:line="360" w:lineRule="auto"/>
        <w:jc w:val="right"/>
        <w:rPr>
          <w:rFonts w:hint="eastAsia" w:ascii="仿宋_GB2312" w:hAnsi="宋体" w:eastAsia="仿宋_GB2312" w:cs="微软雅黑"/>
          <w:sz w:val="32"/>
          <w:szCs w:val="32"/>
        </w:rPr>
      </w:pPr>
      <w:r>
        <w:rPr>
          <w:rFonts w:hint="eastAsia" w:ascii="仿宋_GB2312" w:hAnsi="宋体" w:eastAsia="仿宋_GB2312" w:cs="微软雅黑"/>
          <w:sz w:val="32"/>
          <w:szCs w:val="32"/>
        </w:rPr>
        <w:t>2025年1月</w:t>
      </w:r>
    </w:p>
    <w:p>
      <w:pPr>
        <w:spacing w:line="360" w:lineRule="auto"/>
        <w:rPr>
          <w:rFonts w:hint="eastAsia" w:ascii="仿宋_GB2312" w:hAnsi="宋体" w:eastAsia="仿宋_GB2312" w:cs="微软雅黑"/>
          <w:sz w:val="32"/>
          <w:szCs w:val="32"/>
        </w:rPr>
      </w:pPr>
    </w:p>
    <w:p>
      <w:pPr>
        <w:spacing w:line="360" w:lineRule="auto"/>
        <w:ind w:firstLine="320" w:firstLineChars="100"/>
        <w:jc w:val="right"/>
        <w:rPr>
          <w:rFonts w:hint="eastAsia" w:ascii="仿宋_GB2312" w:hAnsi="宋体" w:eastAsia="仿宋_GB2312" w:cs="微软雅黑"/>
          <w:sz w:val="32"/>
          <w:szCs w:val="32"/>
        </w:rPr>
      </w:pPr>
    </w:p>
    <w:p>
      <w:pPr>
        <w:spacing w:line="360" w:lineRule="auto"/>
        <w:ind w:firstLine="320" w:firstLineChars="100"/>
        <w:jc w:val="right"/>
        <w:rPr>
          <w:rFonts w:hint="eastAsia" w:ascii="仿宋_GB2312" w:hAnsi="宋体" w:eastAsia="仿宋_GB2312" w:cs="微软雅黑"/>
          <w:sz w:val="32"/>
          <w:szCs w:val="32"/>
        </w:rPr>
      </w:pPr>
    </w:p>
    <w:p>
      <w:pPr>
        <w:pStyle w:val="9"/>
        <w:spacing w:before="156" w:beforeLines="50" w:line="360" w:lineRule="auto"/>
        <w:rPr>
          <w:rFonts w:hint="eastAsia" w:ascii="仿宋_GB2312" w:eastAsia="仿宋_GB2312" w:cs="宋体" w:hAnsiTheme="minorEastAsia"/>
          <w:b/>
          <w:bCs/>
          <w:kern w:val="0"/>
          <w:sz w:val="32"/>
          <w:szCs w:val="32"/>
        </w:rPr>
      </w:pPr>
      <w:r>
        <w:rPr>
          <w:rFonts w:hint="eastAsia" w:ascii="仿宋_GB2312" w:eastAsia="仿宋_GB2312" w:cs="宋体" w:hAnsiTheme="minorEastAsia"/>
          <w:b/>
          <w:bCs/>
          <w:kern w:val="0"/>
          <w:sz w:val="32"/>
          <w:szCs w:val="32"/>
        </w:rPr>
        <w:t>附件一：课程简介</w:t>
      </w:r>
    </w:p>
    <w:p>
      <w:pPr>
        <w:pStyle w:val="8"/>
        <w:numPr>
          <w:ilvl w:val="0"/>
          <w:numId w:val="1"/>
        </w:numPr>
        <w:spacing w:line="360" w:lineRule="auto"/>
        <w:ind w:firstLineChars="0"/>
        <w:rPr>
          <w:rFonts w:hint="eastAsia" w:ascii="仿宋_GB2312" w:eastAsia="仿宋_GB2312" w:hAnsiTheme="minorEastAsia"/>
          <w:b/>
          <w:sz w:val="32"/>
          <w:szCs w:val="32"/>
        </w:rPr>
      </w:pPr>
      <w:r>
        <w:rPr>
          <w:rFonts w:hint="eastAsia" w:ascii="仿宋_GB2312" w:eastAsia="仿宋_GB2312" w:hAnsiTheme="minorEastAsia"/>
          <w:b/>
          <w:sz w:val="32"/>
          <w:szCs w:val="32"/>
        </w:rPr>
        <w:t>培训安排</w:t>
      </w:r>
    </w:p>
    <w:tbl>
      <w:tblPr>
        <w:tblStyle w:val="5"/>
        <w:tblW w:w="665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3402"/>
        <w:gridCol w:w="1701"/>
      </w:tblGrid>
      <w:tr>
        <w:tc>
          <w:tcPr>
            <w:tcW w:w="1555" w:type="dxa"/>
          </w:tcPr>
          <w:p>
            <w:pPr>
              <w:spacing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期数</w:t>
            </w:r>
          </w:p>
        </w:tc>
        <w:tc>
          <w:tcPr>
            <w:tcW w:w="3402" w:type="dxa"/>
          </w:tcPr>
          <w:p>
            <w:pPr>
              <w:spacing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培训时间</w:t>
            </w:r>
          </w:p>
        </w:tc>
        <w:tc>
          <w:tcPr>
            <w:tcW w:w="1701" w:type="dxa"/>
          </w:tcPr>
          <w:p>
            <w:pPr>
              <w:spacing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报到时间</w:t>
            </w:r>
          </w:p>
        </w:tc>
      </w:tr>
      <w:tr>
        <w:tc>
          <w:tcPr>
            <w:tcW w:w="1555" w:type="dxa"/>
          </w:tcPr>
          <w:p>
            <w:pPr>
              <w:spacing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第一期</w:t>
            </w:r>
          </w:p>
        </w:tc>
        <w:tc>
          <w:tcPr>
            <w:tcW w:w="3402" w:type="dxa"/>
          </w:tcPr>
          <w:p>
            <w:pPr>
              <w:spacing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4月21-22日</w:t>
            </w:r>
          </w:p>
        </w:tc>
        <w:tc>
          <w:tcPr>
            <w:tcW w:w="1701" w:type="dxa"/>
          </w:tcPr>
          <w:p>
            <w:pPr>
              <w:spacing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20日</w:t>
            </w:r>
          </w:p>
        </w:tc>
      </w:tr>
      <w:tr>
        <w:tc>
          <w:tcPr>
            <w:tcW w:w="1555" w:type="dxa"/>
          </w:tcPr>
          <w:p>
            <w:pPr>
              <w:spacing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第二期</w:t>
            </w:r>
          </w:p>
        </w:tc>
        <w:tc>
          <w:tcPr>
            <w:tcW w:w="3402" w:type="dxa"/>
          </w:tcPr>
          <w:p>
            <w:pPr>
              <w:spacing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8月25-26日</w:t>
            </w:r>
          </w:p>
        </w:tc>
        <w:tc>
          <w:tcPr>
            <w:tcW w:w="1701" w:type="dxa"/>
          </w:tcPr>
          <w:p>
            <w:pPr>
              <w:spacing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24日</w:t>
            </w:r>
          </w:p>
        </w:tc>
      </w:tr>
    </w:tbl>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地点：上海国家会计学院（</w:t>
      </w:r>
      <w:r>
        <w:rPr>
          <w:rFonts w:hint="eastAsia" w:ascii="仿宋_GB2312" w:hAnsi="仿宋_GB2312" w:eastAsia="仿宋_GB2312" w:cs="仿宋_GB2312"/>
          <w:color w:val="000000" w:themeColor="text1"/>
          <w:sz w:val="32"/>
          <w:szCs w:val="32"/>
          <w14:textFill>
            <w14:solidFill>
              <w14:schemeClr w14:val="tx1"/>
            </w14:solidFill>
          </w14:textFill>
        </w:rPr>
        <w:t>住宿在院外酒店</w:t>
      </w:r>
      <w:r>
        <w:rPr>
          <w:rFonts w:hint="eastAsia" w:ascii="仿宋_GB2312" w:eastAsia="仿宋_GB2312" w:hAnsiTheme="minorEastAsia"/>
          <w:sz w:val="32"/>
          <w:szCs w:val="32"/>
        </w:rPr>
        <w:t>）</w:t>
      </w:r>
    </w:p>
    <w:p>
      <w:pPr>
        <w:spacing w:line="360" w:lineRule="auto"/>
        <w:rPr>
          <w:rFonts w:hint="eastAsia" w:ascii="仿宋_GB2312" w:eastAsia="仿宋_GB2312" w:hAnsiTheme="minorEastAsia"/>
          <w:b/>
          <w:sz w:val="32"/>
          <w:szCs w:val="32"/>
        </w:rPr>
      </w:pPr>
      <w:r>
        <w:rPr>
          <w:rFonts w:hint="eastAsia" w:ascii="仿宋_GB2312" w:eastAsia="仿宋_GB2312" w:hAnsiTheme="minorEastAsia"/>
          <w:b/>
          <w:bCs/>
          <w:sz w:val="32"/>
          <w:szCs w:val="32"/>
        </w:rPr>
        <w:t>二</w:t>
      </w:r>
      <w:r>
        <w:rPr>
          <w:rFonts w:hint="eastAsia" w:ascii="仿宋_GB2312" w:eastAsia="仿宋_GB2312" w:hAnsiTheme="minorEastAsia"/>
          <w:b/>
          <w:sz w:val="32"/>
          <w:szCs w:val="32"/>
        </w:rPr>
        <w:t>、课程目标</w:t>
      </w:r>
    </w:p>
    <w:p>
      <w:pPr>
        <w:spacing w:line="360" w:lineRule="auto"/>
        <w:rPr>
          <w:rFonts w:hint="eastAsia" w:ascii="仿宋_GB2312" w:eastAsia="仿宋_GB2312" w:cs="Times New Roman" w:hAnsiTheme="minorEastAsia"/>
          <w:bCs/>
          <w:sz w:val="32"/>
          <w:szCs w:val="32"/>
        </w:rPr>
      </w:pPr>
      <w:r>
        <w:rPr>
          <w:rFonts w:hint="eastAsia" w:ascii="仿宋_GB2312" w:eastAsia="仿宋_GB2312" w:cs="Times New Roman" w:hAnsiTheme="minorEastAsia"/>
          <w:bCs/>
          <w:sz w:val="32"/>
          <w:szCs w:val="32"/>
        </w:rPr>
        <w:t>1.了解现金管理的理念、框架、工具；</w:t>
      </w:r>
    </w:p>
    <w:p>
      <w:pPr>
        <w:spacing w:line="360" w:lineRule="auto"/>
        <w:rPr>
          <w:rFonts w:hint="eastAsia" w:ascii="仿宋_GB2312" w:eastAsia="仿宋_GB2312" w:cs="Times New Roman" w:hAnsiTheme="minorEastAsia"/>
          <w:bCs/>
          <w:sz w:val="32"/>
          <w:szCs w:val="32"/>
        </w:rPr>
      </w:pPr>
      <w:r>
        <w:rPr>
          <w:rFonts w:hint="eastAsia" w:ascii="仿宋_GB2312" w:eastAsia="仿宋_GB2312" w:cs="Times New Roman" w:hAnsiTheme="minorEastAsia"/>
          <w:bCs/>
          <w:sz w:val="32"/>
          <w:szCs w:val="32"/>
        </w:rPr>
        <w:t>2.熟悉业内领先的现金管理方法，探索适合企业实际的资金管理模式；</w:t>
      </w:r>
    </w:p>
    <w:p>
      <w:pPr>
        <w:spacing w:line="360" w:lineRule="auto"/>
        <w:rPr>
          <w:rFonts w:hint="eastAsia" w:ascii="仿宋_GB2312" w:eastAsia="仿宋_GB2312" w:cs="Times New Roman" w:hAnsiTheme="minorEastAsia"/>
          <w:bCs/>
          <w:sz w:val="32"/>
          <w:szCs w:val="32"/>
        </w:rPr>
      </w:pPr>
      <w:r>
        <w:rPr>
          <w:rFonts w:hint="eastAsia" w:ascii="仿宋_GB2312" w:eastAsia="仿宋_GB2312" w:cs="Times New Roman" w:hAnsiTheme="minorEastAsia"/>
          <w:bCs/>
          <w:sz w:val="32"/>
          <w:szCs w:val="32"/>
        </w:rPr>
        <w:t>3.优化企业资金流动性管理与控制，加强“两金”管理，提升资金使用效率；</w:t>
      </w:r>
    </w:p>
    <w:p>
      <w:pPr>
        <w:spacing w:line="360" w:lineRule="auto"/>
        <w:rPr>
          <w:rFonts w:hint="eastAsia" w:ascii="仿宋_GB2312" w:eastAsia="仿宋_GB2312" w:cs="Times New Roman" w:hAnsiTheme="minorEastAsia"/>
          <w:bCs/>
          <w:sz w:val="32"/>
          <w:szCs w:val="32"/>
        </w:rPr>
      </w:pPr>
      <w:r>
        <w:rPr>
          <w:rFonts w:hint="eastAsia" w:ascii="仿宋_GB2312" w:eastAsia="仿宋_GB2312" w:cs="Times New Roman" w:hAnsiTheme="minorEastAsia"/>
          <w:bCs/>
          <w:sz w:val="32"/>
          <w:szCs w:val="32"/>
        </w:rPr>
        <w:t>4.建立科学合理的现金流量管理机制；</w:t>
      </w:r>
    </w:p>
    <w:p>
      <w:pPr>
        <w:spacing w:line="360" w:lineRule="auto"/>
        <w:rPr>
          <w:rFonts w:hint="eastAsia" w:ascii="仿宋_GB2312" w:eastAsia="仿宋_GB2312" w:cs="Times New Roman" w:hAnsiTheme="minorEastAsia"/>
          <w:bCs/>
          <w:sz w:val="32"/>
          <w:szCs w:val="32"/>
        </w:rPr>
      </w:pPr>
      <w:r>
        <w:rPr>
          <w:rFonts w:hint="eastAsia" w:ascii="仿宋_GB2312" w:eastAsia="仿宋_GB2312" w:cs="Times New Roman" w:hAnsiTheme="minorEastAsia"/>
          <w:bCs/>
          <w:sz w:val="32"/>
          <w:szCs w:val="32"/>
        </w:rPr>
        <w:t>5.服务企业战略，强化营运资本、资本结构管理，防范财务风险。</w:t>
      </w:r>
    </w:p>
    <w:p>
      <w:pPr>
        <w:spacing w:line="360" w:lineRule="auto"/>
        <w:rPr>
          <w:rFonts w:hint="eastAsia" w:ascii="仿宋_GB2312" w:eastAsia="仿宋_GB2312" w:hAnsiTheme="minorEastAsia"/>
          <w:b/>
          <w:sz w:val="32"/>
          <w:szCs w:val="32"/>
        </w:rPr>
      </w:pPr>
      <w:r>
        <w:rPr>
          <w:rFonts w:hint="eastAsia" w:ascii="仿宋_GB2312" w:eastAsia="仿宋_GB2312" w:hAnsiTheme="minorEastAsia"/>
          <w:b/>
          <w:sz w:val="32"/>
          <w:szCs w:val="32"/>
        </w:rPr>
        <w:t>三、培训对象</w:t>
      </w:r>
    </w:p>
    <w:p>
      <w:pPr>
        <w:spacing w:line="360" w:lineRule="auto"/>
        <w:rPr>
          <w:rFonts w:hint="eastAsia" w:ascii="仿宋_GB2312" w:eastAsia="仿宋_GB2312" w:cs="Times New Roman" w:hAnsiTheme="minorEastAsia"/>
          <w:bCs/>
          <w:sz w:val="32"/>
          <w:szCs w:val="32"/>
        </w:rPr>
      </w:pPr>
      <w:r>
        <w:rPr>
          <w:rFonts w:hint="eastAsia" w:ascii="仿宋_GB2312" w:eastAsia="仿宋_GB2312" w:cs="Times New Roman" w:hAnsiTheme="minorEastAsia"/>
          <w:bCs/>
          <w:sz w:val="32"/>
          <w:szCs w:val="32"/>
        </w:rPr>
        <w:t>企业总会计师、财务总监、投融资决策负责人，以及资金管理专业人员</w:t>
      </w:r>
    </w:p>
    <w:p>
      <w:pPr>
        <w:spacing w:line="360" w:lineRule="auto"/>
        <w:rPr>
          <w:rFonts w:hint="eastAsia" w:ascii="仿宋_GB2312" w:eastAsia="仿宋_GB2312" w:hAnsiTheme="minorEastAsia"/>
          <w:b/>
          <w:sz w:val="32"/>
          <w:szCs w:val="32"/>
        </w:rPr>
      </w:pPr>
      <w:r>
        <w:rPr>
          <w:rFonts w:hint="eastAsia" w:ascii="仿宋_GB2312" w:eastAsia="仿宋_GB2312" w:hAnsiTheme="minorEastAsia"/>
          <w:b/>
          <w:sz w:val="32"/>
          <w:szCs w:val="32"/>
        </w:rPr>
        <w:t>四、课程内容</w:t>
      </w:r>
    </w:p>
    <w:p>
      <w:pPr>
        <w:spacing w:line="360" w:lineRule="auto"/>
        <w:rPr>
          <w:rFonts w:hint="eastAsia" w:ascii="仿宋_GB2312" w:eastAsia="仿宋_GB2312" w:cs="Times New Roman" w:hAnsiTheme="minorEastAsia"/>
          <w:b/>
          <w:sz w:val="32"/>
          <w:szCs w:val="32"/>
        </w:rPr>
      </w:pPr>
      <w:r>
        <w:rPr>
          <w:rFonts w:hint="eastAsia" w:ascii="仿宋_GB2312" w:eastAsia="仿宋_GB2312" w:cs="Times New Roman" w:hAnsiTheme="minorEastAsia"/>
          <w:b/>
          <w:sz w:val="32"/>
          <w:szCs w:val="32"/>
        </w:rPr>
        <w:t>（一）现金为王：资金管理的核心理念</w:t>
      </w:r>
    </w:p>
    <w:p>
      <w:pPr>
        <w:spacing w:line="360" w:lineRule="auto"/>
        <w:rPr>
          <w:rFonts w:hint="eastAsia" w:ascii="仿宋_GB2312" w:eastAsia="仿宋_GB2312" w:cs="Times New Roman" w:hAnsiTheme="minorEastAsia"/>
          <w:bCs/>
          <w:sz w:val="32"/>
          <w:szCs w:val="32"/>
        </w:rPr>
      </w:pPr>
      <w:r>
        <w:rPr>
          <w:rFonts w:hint="eastAsia" w:ascii="仿宋_GB2312" w:eastAsia="仿宋_GB2312" w:cs="Times New Roman" w:hAnsiTheme="minorEastAsia"/>
          <w:bCs/>
          <w:sz w:val="32"/>
          <w:szCs w:val="32"/>
        </w:rPr>
        <w:t>1.现金流与营运资本视角下的财务报表分析</w:t>
      </w:r>
    </w:p>
    <w:p>
      <w:pPr>
        <w:spacing w:line="360" w:lineRule="auto"/>
        <w:rPr>
          <w:rFonts w:hint="eastAsia" w:ascii="仿宋_GB2312" w:eastAsia="仿宋_GB2312" w:cs="Times New Roman" w:hAnsiTheme="minorEastAsia"/>
          <w:bCs/>
          <w:sz w:val="32"/>
          <w:szCs w:val="32"/>
        </w:rPr>
      </w:pPr>
      <w:r>
        <w:rPr>
          <w:rFonts w:hint="eastAsia" w:ascii="仿宋_GB2312" w:eastAsia="仿宋_GB2312" w:cs="Times New Roman" w:hAnsiTheme="minorEastAsia"/>
          <w:bCs/>
          <w:sz w:val="32"/>
          <w:szCs w:val="32"/>
        </w:rPr>
        <w:t>2.资金管理的核心理念</w:t>
      </w:r>
    </w:p>
    <w:p>
      <w:pPr>
        <w:spacing w:line="360" w:lineRule="auto"/>
        <w:rPr>
          <w:rFonts w:hint="eastAsia" w:ascii="仿宋_GB2312" w:eastAsia="仿宋_GB2312" w:cs="Times New Roman" w:hAnsiTheme="minorEastAsia"/>
          <w:bCs/>
          <w:sz w:val="32"/>
          <w:szCs w:val="32"/>
        </w:rPr>
      </w:pPr>
      <w:r>
        <w:rPr>
          <w:rFonts w:hint="eastAsia" w:ascii="仿宋_GB2312" w:eastAsia="仿宋_GB2312" w:cs="Times New Roman" w:hAnsiTheme="minorEastAsia"/>
          <w:bCs/>
          <w:sz w:val="32"/>
          <w:szCs w:val="32"/>
        </w:rPr>
        <w:t>3.资本管理的核心逻辑</w:t>
      </w:r>
    </w:p>
    <w:p>
      <w:pPr>
        <w:spacing w:line="360" w:lineRule="auto"/>
        <w:rPr>
          <w:rFonts w:hint="eastAsia" w:ascii="仿宋_GB2312" w:eastAsia="仿宋_GB2312" w:cs="Times New Roman" w:hAnsiTheme="minorEastAsia"/>
          <w:bCs/>
          <w:sz w:val="32"/>
          <w:szCs w:val="32"/>
        </w:rPr>
      </w:pPr>
      <w:r>
        <w:rPr>
          <w:rFonts w:hint="eastAsia" w:ascii="仿宋_GB2312" w:eastAsia="仿宋_GB2312" w:cs="Times New Roman" w:hAnsiTheme="minorEastAsia"/>
          <w:bCs/>
          <w:sz w:val="32"/>
          <w:szCs w:val="32"/>
        </w:rPr>
        <w:t>4.资金管理的基础框架</w:t>
      </w:r>
    </w:p>
    <w:p>
      <w:pPr>
        <w:spacing w:line="360" w:lineRule="auto"/>
        <w:rPr>
          <w:rFonts w:hint="eastAsia" w:ascii="仿宋_GB2312" w:eastAsia="仿宋_GB2312" w:cs="Times New Roman" w:hAnsiTheme="minorEastAsia"/>
          <w:bCs/>
          <w:sz w:val="32"/>
          <w:szCs w:val="32"/>
        </w:rPr>
      </w:pPr>
      <w:r>
        <w:rPr>
          <w:rFonts w:hint="eastAsia" w:ascii="仿宋_GB2312" w:eastAsia="仿宋_GB2312" w:cs="Times New Roman" w:hAnsiTheme="minorEastAsia"/>
          <w:bCs/>
          <w:sz w:val="32"/>
          <w:szCs w:val="32"/>
        </w:rPr>
        <w:t>5.以发展战略及资本预算为导向的资金管理</w:t>
      </w:r>
    </w:p>
    <w:p>
      <w:pPr>
        <w:spacing w:line="360" w:lineRule="auto"/>
        <w:rPr>
          <w:rFonts w:hint="eastAsia" w:ascii="仿宋_GB2312" w:eastAsia="仿宋_GB2312" w:cs="Times New Roman" w:hAnsiTheme="minorEastAsia"/>
          <w:b/>
          <w:sz w:val="32"/>
          <w:szCs w:val="32"/>
        </w:rPr>
      </w:pPr>
      <w:r>
        <w:rPr>
          <w:rFonts w:hint="eastAsia" w:ascii="仿宋_GB2312" w:eastAsia="仿宋_GB2312" w:cs="Times New Roman" w:hAnsiTheme="minorEastAsia"/>
          <w:b/>
          <w:sz w:val="32"/>
          <w:szCs w:val="32"/>
        </w:rPr>
        <w:t>（二）资金和运营资本管理</w:t>
      </w:r>
    </w:p>
    <w:p>
      <w:pPr>
        <w:spacing w:line="360" w:lineRule="auto"/>
        <w:rPr>
          <w:rFonts w:hint="eastAsia" w:ascii="仿宋_GB2312" w:eastAsia="仿宋_GB2312" w:cs="Times New Roman" w:hAnsiTheme="minorEastAsia"/>
          <w:bCs/>
          <w:sz w:val="32"/>
          <w:szCs w:val="32"/>
        </w:rPr>
      </w:pPr>
      <w:r>
        <w:rPr>
          <w:rFonts w:hint="eastAsia" w:ascii="仿宋_GB2312" w:eastAsia="仿宋_GB2312" w:cs="Times New Roman" w:hAnsiTheme="minorEastAsia"/>
          <w:bCs/>
          <w:sz w:val="32"/>
          <w:szCs w:val="32"/>
        </w:rPr>
        <w:t>1.资金管理系统的建设和应用</w:t>
      </w:r>
    </w:p>
    <w:p>
      <w:pPr>
        <w:spacing w:line="360" w:lineRule="auto"/>
        <w:rPr>
          <w:rFonts w:hint="eastAsia" w:ascii="仿宋_GB2312" w:eastAsia="仿宋_GB2312" w:cs="Times New Roman" w:hAnsiTheme="minorEastAsia"/>
          <w:bCs/>
          <w:sz w:val="32"/>
          <w:szCs w:val="32"/>
        </w:rPr>
      </w:pPr>
      <w:r>
        <w:rPr>
          <w:rFonts w:hint="eastAsia" w:ascii="仿宋_GB2312" w:eastAsia="仿宋_GB2312" w:cs="Times New Roman" w:hAnsiTheme="minorEastAsia"/>
          <w:bCs/>
          <w:sz w:val="32"/>
          <w:szCs w:val="32"/>
        </w:rPr>
        <w:t>2.收支预测与资金计划</w:t>
      </w:r>
    </w:p>
    <w:p>
      <w:pPr>
        <w:spacing w:line="360" w:lineRule="auto"/>
        <w:rPr>
          <w:rFonts w:hint="eastAsia" w:ascii="仿宋_GB2312" w:eastAsia="仿宋_GB2312" w:cs="Times New Roman" w:hAnsiTheme="minorEastAsia"/>
          <w:bCs/>
          <w:sz w:val="32"/>
          <w:szCs w:val="32"/>
        </w:rPr>
      </w:pPr>
      <w:r>
        <w:rPr>
          <w:rFonts w:hint="eastAsia" w:ascii="仿宋_GB2312" w:eastAsia="仿宋_GB2312" w:cs="Times New Roman" w:hAnsiTheme="minorEastAsia"/>
          <w:bCs/>
          <w:sz w:val="32"/>
          <w:szCs w:val="32"/>
        </w:rPr>
        <w:t>3.集团公司资金及收支管理</w:t>
      </w:r>
    </w:p>
    <w:p>
      <w:pPr>
        <w:spacing w:line="360" w:lineRule="auto"/>
        <w:rPr>
          <w:rFonts w:hint="eastAsia" w:ascii="仿宋_GB2312" w:eastAsia="仿宋_GB2312" w:cs="Times New Roman" w:hAnsiTheme="minorEastAsia"/>
          <w:bCs/>
          <w:sz w:val="32"/>
          <w:szCs w:val="32"/>
        </w:rPr>
      </w:pPr>
      <w:r>
        <w:rPr>
          <w:rFonts w:hint="eastAsia" w:ascii="仿宋_GB2312" w:eastAsia="仿宋_GB2312" w:cs="Times New Roman" w:hAnsiTheme="minorEastAsia"/>
          <w:bCs/>
          <w:sz w:val="32"/>
          <w:szCs w:val="32"/>
        </w:rPr>
        <w:t>4.营运资本管理的本质、方法、体系与指标</w:t>
      </w:r>
    </w:p>
    <w:p>
      <w:pPr>
        <w:spacing w:line="360" w:lineRule="auto"/>
        <w:rPr>
          <w:rFonts w:hint="eastAsia" w:ascii="仿宋_GB2312" w:eastAsia="仿宋_GB2312" w:cs="Times New Roman" w:hAnsiTheme="minorEastAsia"/>
          <w:bCs/>
          <w:sz w:val="32"/>
          <w:szCs w:val="32"/>
        </w:rPr>
      </w:pPr>
      <w:r>
        <w:rPr>
          <w:rFonts w:hint="eastAsia" w:ascii="仿宋_GB2312" w:eastAsia="仿宋_GB2312" w:cs="Times New Roman" w:hAnsiTheme="minorEastAsia"/>
          <w:bCs/>
          <w:sz w:val="32"/>
          <w:szCs w:val="32"/>
        </w:rPr>
        <w:t>5.司库管理体系建设顶层设计、总体规划及落地实施的重点难点问题。</w:t>
      </w:r>
    </w:p>
    <w:p>
      <w:pPr>
        <w:spacing w:line="360" w:lineRule="auto"/>
        <w:rPr>
          <w:rFonts w:hint="eastAsia" w:ascii="仿宋_GB2312" w:eastAsia="仿宋_GB2312" w:cs="Times New Roman" w:hAnsiTheme="minorEastAsia"/>
          <w:b/>
          <w:sz w:val="32"/>
          <w:szCs w:val="32"/>
        </w:rPr>
      </w:pPr>
      <w:r>
        <w:rPr>
          <w:rFonts w:hint="eastAsia" w:ascii="仿宋_GB2312" w:eastAsia="仿宋_GB2312" w:cs="Times New Roman" w:hAnsiTheme="minorEastAsia"/>
          <w:b/>
          <w:sz w:val="32"/>
          <w:szCs w:val="32"/>
        </w:rPr>
        <w:t>（三）融资策略与资本结构管理</w:t>
      </w:r>
    </w:p>
    <w:p>
      <w:pPr>
        <w:spacing w:line="360" w:lineRule="auto"/>
        <w:rPr>
          <w:rFonts w:hint="eastAsia" w:ascii="仿宋_GB2312" w:eastAsia="仿宋_GB2312" w:cs="Times New Roman" w:hAnsiTheme="minorEastAsia"/>
          <w:bCs/>
          <w:sz w:val="32"/>
          <w:szCs w:val="32"/>
        </w:rPr>
      </w:pPr>
      <w:r>
        <w:rPr>
          <w:rFonts w:hint="eastAsia" w:ascii="仿宋_GB2312" w:eastAsia="仿宋_GB2312" w:cs="Times New Roman" w:hAnsiTheme="minorEastAsia"/>
          <w:bCs/>
          <w:sz w:val="32"/>
          <w:szCs w:val="32"/>
        </w:rPr>
        <w:t>1.资金需求预测与企业融资规划</w:t>
      </w:r>
    </w:p>
    <w:p>
      <w:pPr>
        <w:spacing w:line="360" w:lineRule="auto"/>
        <w:rPr>
          <w:rFonts w:hint="eastAsia" w:ascii="仿宋_GB2312" w:eastAsia="仿宋_GB2312" w:cs="Times New Roman" w:hAnsiTheme="minorEastAsia"/>
          <w:bCs/>
          <w:sz w:val="32"/>
          <w:szCs w:val="32"/>
        </w:rPr>
      </w:pPr>
      <w:r>
        <w:rPr>
          <w:rFonts w:hint="eastAsia" w:ascii="仿宋_GB2312" w:eastAsia="仿宋_GB2312" w:cs="Times New Roman" w:hAnsiTheme="minorEastAsia"/>
          <w:bCs/>
          <w:sz w:val="32"/>
          <w:szCs w:val="32"/>
        </w:rPr>
        <w:t>2.</w:t>
      </w:r>
      <w:r>
        <w:rPr>
          <w:rFonts w:ascii="仿宋_GB2312" w:eastAsia="仿宋_GB2312" w:cs="Times New Roman" w:hAnsiTheme="minorEastAsia"/>
          <w:bCs/>
          <w:sz w:val="32"/>
          <w:szCs w:val="32"/>
        </w:rPr>
        <w:t>IPO</w:t>
      </w:r>
      <w:r>
        <w:rPr>
          <w:rFonts w:hint="eastAsia" w:ascii="仿宋_GB2312" w:eastAsia="仿宋_GB2312" w:cs="Times New Roman" w:hAnsiTheme="minorEastAsia"/>
          <w:bCs/>
          <w:sz w:val="32"/>
          <w:szCs w:val="32"/>
        </w:rPr>
        <w:t>及上市公司再融资、P</w:t>
      </w:r>
      <w:r>
        <w:rPr>
          <w:rFonts w:ascii="仿宋_GB2312" w:eastAsia="仿宋_GB2312" w:cs="Times New Roman" w:hAnsiTheme="minorEastAsia"/>
          <w:bCs/>
          <w:sz w:val="32"/>
          <w:szCs w:val="32"/>
        </w:rPr>
        <w:t>E</w:t>
      </w:r>
      <w:r>
        <w:rPr>
          <w:rFonts w:hint="eastAsia" w:ascii="仿宋_GB2312" w:eastAsia="仿宋_GB2312" w:cs="Times New Roman" w:hAnsiTheme="minorEastAsia"/>
          <w:bCs/>
          <w:sz w:val="32"/>
          <w:szCs w:val="32"/>
        </w:rPr>
        <w:t>、V</w:t>
      </w:r>
      <w:r>
        <w:rPr>
          <w:rFonts w:ascii="仿宋_GB2312" w:eastAsia="仿宋_GB2312" w:cs="Times New Roman" w:hAnsiTheme="minorEastAsia"/>
          <w:bCs/>
          <w:sz w:val="32"/>
          <w:szCs w:val="32"/>
        </w:rPr>
        <w:t>C</w:t>
      </w:r>
      <w:r>
        <w:rPr>
          <w:rFonts w:hint="eastAsia" w:ascii="仿宋_GB2312" w:eastAsia="仿宋_GB2312" w:cs="Times New Roman" w:hAnsiTheme="minorEastAsia"/>
          <w:bCs/>
          <w:sz w:val="32"/>
          <w:szCs w:val="32"/>
        </w:rPr>
        <w:t>等股权融资决策</w:t>
      </w:r>
    </w:p>
    <w:p>
      <w:pPr>
        <w:spacing w:line="360" w:lineRule="auto"/>
        <w:rPr>
          <w:rFonts w:hint="eastAsia" w:ascii="仿宋_GB2312" w:eastAsia="仿宋_GB2312" w:cs="Times New Roman" w:hAnsiTheme="minorEastAsia"/>
          <w:bCs/>
          <w:sz w:val="32"/>
          <w:szCs w:val="32"/>
        </w:rPr>
      </w:pPr>
      <w:r>
        <w:rPr>
          <w:rFonts w:hint="eastAsia" w:ascii="仿宋_GB2312" w:eastAsia="仿宋_GB2312" w:cs="Times New Roman" w:hAnsiTheme="minorEastAsia"/>
          <w:bCs/>
          <w:sz w:val="32"/>
          <w:szCs w:val="32"/>
        </w:rPr>
        <w:t>3</w:t>
      </w:r>
      <w:r>
        <w:rPr>
          <w:rFonts w:ascii="仿宋_GB2312" w:eastAsia="仿宋_GB2312" w:cs="Times New Roman" w:hAnsiTheme="minorEastAsia"/>
          <w:bCs/>
          <w:sz w:val="32"/>
          <w:szCs w:val="32"/>
        </w:rPr>
        <w:t>.</w:t>
      </w:r>
      <w:r>
        <w:rPr>
          <w:rFonts w:hint="eastAsia" w:ascii="仿宋_GB2312" w:eastAsia="仿宋_GB2312" w:cs="Times New Roman" w:hAnsiTheme="minorEastAsia"/>
          <w:bCs/>
          <w:sz w:val="32"/>
          <w:szCs w:val="32"/>
        </w:rPr>
        <w:t>债权及混合融资策略</w:t>
      </w:r>
    </w:p>
    <w:p>
      <w:pPr>
        <w:spacing w:line="360" w:lineRule="auto"/>
        <w:rPr>
          <w:rFonts w:hint="eastAsia" w:ascii="仿宋_GB2312" w:eastAsia="仿宋_GB2312" w:cs="Times New Roman" w:hAnsiTheme="minorEastAsia"/>
          <w:bCs/>
          <w:sz w:val="32"/>
          <w:szCs w:val="32"/>
        </w:rPr>
      </w:pPr>
      <w:r>
        <w:rPr>
          <w:rFonts w:hint="eastAsia" w:ascii="仿宋_GB2312" w:eastAsia="仿宋_GB2312" w:cs="Times New Roman" w:hAnsiTheme="minorEastAsia"/>
          <w:bCs/>
          <w:sz w:val="32"/>
          <w:szCs w:val="32"/>
        </w:rPr>
        <w:t>4</w:t>
      </w:r>
      <w:r>
        <w:rPr>
          <w:rFonts w:ascii="仿宋_GB2312" w:eastAsia="仿宋_GB2312" w:cs="Times New Roman" w:hAnsiTheme="minorEastAsia"/>
          <w:bCs/>
          <w:sz w:val="32"/>
          <w:szCs w:val="32"/>
        </w:rPr>
        <w:t>.</w:t>
      </w:r>
      <w:r>
        <w:rPr>
          <w:rFonts w:hint="eastAsia" w:ascii="仿宋_GB2312" w:eastAsia="仿宋_GB2312" w:cs="Times New Roman" w:hAnsiTheme="minorEastAsia"/>
          <w:bCs/>
          <w:sz w:val="32"/>
          <w:szCs w:val="32"/>
        </w:rPr>
        <w:t>资产证券化、基础设施R</w:t>
      </w:r>
      <w:r>
        <w:rPr>
          <w:rFonts w:ascii="仿宋_GB2312" w:eastAsia="仿宋_GB2312" w:cs="Times New Roman" w:hAnsiTheme="minorEastAsia"/>
          <w:bCs/>
          <w:sz w:val="32"/>
          <w:szCs w:val="32"/>
        </w:rPr>
        <w:t>EITs</w:t>
      </w:r>
      <w:r>
        <w:rPr>
          <w:rFonts w:hint="eastAsia" w:ascii="仿宋_GB2312" w:eastAsia="仿宋_GB2312" w:cs="Times New Roman" w:hAnsiTheme="minorEastAsia"/>
          <w:bCs/>
          <w:sz w:val="32"/>
          <w:szCs w:val="32"/>
        </w:rPr>
        <w:t>、项目融资的决策</w:t>
      </w:r>
    </w:p>
    <w:p>
      <w:pPr>
        <w:spacing w:line="360" w:lineRule="auto"/>
        <w:rPr>
          <w:rFonts w:hint="eastAsia" w:ascii="仿宋_GB2312" w:eastAsia="仿宋_GB2312" w:cs="Times New Roman" w:hAnsiTheme="minorEastAsia"/>
          <w:bCs/>
          <w:sz w:val="32"/>
          <w:szCs w:val="32"/>
        </w:rPr>
      </w:pPr>
      <w:r>
        <w:rPr>
          <w:rFonts w:hint="eastAsia" w:ascii="仿宋_GB2312" w:eastAsia="仿宋_GB2312" w:cs="Times New Roman" w:hAnsiTheme="minorEastAsia"/>
          <w:bCs/>
          <w:sz w:val="32"/>
          <w:szCs w:val="32"/>
        </w:rPr>
        <w:t>5.融资渠道与融资方式分析，资本结构管理。</w:t>
      </w:r>
    </w:p>
    <w:p>
      <w:pPr>
        <w:spacing w:line="360" w:lineRule="auto"/>
        <w:rPr>
          <w:rFonts w:hint="eastAsia" w:ascii="仿宋_GB2312" w:eastAsia="仿宋_GB2312" w:cs="Times New Roman" w:hAnsiTheme="minorEastAsia"/>
          <w:b/>
          <w:sz w:val="32"/>
          <w:szCs w:val="32"/>
        </w:rPr>
      </w:pPr>
      <w:r>
        <w:rPr>
          <w:rFonts w:hint="eastAsia" w:ascii="仿宋_GB2312" w:eastAsia="仿宋_GB2312" w:cs="Times New Roman" w:hAnsiTheme="minorEastAsia"/>
          <w:b/>
          <w:sz w:val="32"/>
          <w:szCs w:val="32"/>
        </w:rPr>
        <w:t>（四）财务风险识别及控制</w:t>
      </w:r>
    </w:p>
    <w:p>
      <w:pPr>
        <w:spacing w:line="360" w:lineRule="auto"/>
        <w:rPr>
          <w:rFonts w:hint="eastAsia" w:ascii="仿宋_GB2312" w:eastAsia="仿宋_GB2312" w:cs="Times New Roman" w:hAnsiTheme="minorEastAsia"/>
          <w:bCs/>
          <w:sz w:val="32"/>
          <w:szCs w:val="32"/>
        </w:rPr>
      </w:pPr>
      <w:r>
        <w:rPr>
          <w:rFonts w:hint="eastAsia" w:ascii="仿宋_GB2312" w:eastAsia="仿宋_GB2312" w:cs="Times New Roman" w:hAnsiTheme="minorEastAsia"/>
          <w:bCs/>
          <w:sz w:val="32"/>
          <w:szCs w:val="32"/>
        </w:rPr>
        <w:t>1.资金风险的识别和预测</w:t>
      </w:r>
    </w:p>
    <w:p>
      <w:pPr>
        <w:spacing w:line="360" w:lineRule="auto"/>
        <w:rPr>
          <w:rFonts w:hint="eastAsia" w:ascii="仿宋_GB2312" w:eastAsia="仿宋_GB2312" w:cs="Times New Roman" w:hAnsiTheme="minorEastAsia"/>
          <w:bCs/>
          <w:sz w:val="32"/>
          <w:szCs w:val="32"/>
        </w:rPr>
      </w:pPr>
      <w:r>
        <w:rPr>
          <w:rFonts w:hint="eastAsia" w:ascii="仿宋_GB2312" w:eastAsia="仿宋_GB2312" w:cs="Times New Roman" w:hAnsiTheme="minorEastAsia"/>
          <w:bCs/>
          <w:sz w:val="32"/>
          <w:szCs w:val="32"/>
        </w:rPr>
        <w:t>2.风险规避手段及控制措施</w:t>
      </w:r>
    </w:p>
    <w:p>
      <w:pPr>
        <w:spacing w:line="360" w:lineRule="auto"/>
        <w:rPr>
          <w:rFonts w:hint="eastAsia" w:ascii="仿宋_GB2312" w:eastAsia="仿宋_GB2312" w:cs="Times New Roman" w:hAnsiTheme="minorEastAsia"/>
          <w:b/>
          <w:sz w:val="32"/>
          <w:szCs w:val="32"/>
        </w:rPr>
      </w:pPr>
      <w:r>
        <w:rPr>
          <w:rFonts w:hint="eastAsia" w:ascii="仿宋_GB2312" w:eastAsia="仿宋_GB2312" w:cs="Times New Roman" w:hAnsiTheme="minorEastAsia"/>
          <w:bCs/>
          <w:sz w:val="32"/>
          <w:szCs w:val="32"/>
        </w:rPr>
        <w:t>（</w:t>
      </w:r>
      <w:r>
        <w:rPr>
          <w:rFonts w:hint="eastAsia" w:ascii="仿宋_GB2312" w:eastAsia="仿宋_GB2312" w:cs="Times New Roman" w:hAnsiTheme="minorEastAsia"/>
          <w:b/>
          <w:sz w:val="32"/>
          <w:szCs w:val="32"/>
        </w:rPr>
        <w:t>五）案例分析与研讨</w:t>
      </w:r>
    </w:p>
    <w:p>
      <w:pPr>
        <w:spacing w:line="360" w:lineRule="auto"/>
        <w:rPr>
          <w:rFonts w:hint="eastAsia" w:ascii="仿宋_GB2312" w:eastAsia="仿宋_GB2312" w:hAnsiTheme="minorEastAsia"/>
          <w:b/>
          <w:sz w:val="32"/>
          <w:szCs w:val="32"/>
        </w:rPr>
      </w:pPr>
      <w:r>
        <w:rPr>
          <w:rFonts w:hint="eastAsia" w:ascii="仿宋_GB2312" w:eastAsia="仿宋_GB2312" w:hAnsiTheme="minorEastAsia"/>
          <w:b/>
          <w:sz w:val="32"/>
          <w:szCs w:val="32"/>
        </w:rPr>
        <w:t>五、拟邀师资</w:t>
      </w:r>
    </w:p>
    <w:p>
      <w:pPr>
        <w:spacing w:line="360" w:lineRule="auto"/>
        <w:rPr>
          <w:rFonts w:hint="eastAsia" w:ascii="仿宋_GB2312" w:eastAsia="仿宋_GB2312" w:cs="Times New Roman" w:hAnsiTheme="minorEastAsia"/>
          <w:bCs/>
          <w:sz w:val="32"/>
          <w:szCs w:val="32"/>
        </w:rPr>
      </w:pPr>
      <w:r>
        <w:rPr>
          <w:rFonts w:hint="eastAsia" w:ascii="仿宋_GB2312" w:eastAsia="仿宋_GB2312" w:cs="Times New Roman" w:hAnsiTheme="minorEastAsia"/>
          <w:bCs/>
          <w:sz w:val="32"/>
          <w:szCs w:val="32"/>
        </w:rPr>
        <w:t>郜老师：资深实务专家，中央财经大学客座教授，多家上市公司独立董事。</w:t>
      </w:r>
    </w:p>
    <w:p>
      <w:pPr>
        <w:spacing w:line="360" w:lineRule="auto"/>
        <w:rPr>
          <w:rFonts w:hint="eastAsia" w:ascii="仿宋_GB2312" w:eastAsia="仿宋_GB2312" w:cs="Times New Roman" w:hAnsiTheme="minorEastAsia"/>
          <w:bCs/>
          <w:sz w:val="32"/>
          <w:szCs w:val="32"/>
        </w:rPr>
      </w:pPr>
      <w:r>
        <w:rPr>
          <w:rFonts w:hint="eastAsia" w:ascii="仿宋_GB2312" w:eastAsia="仿宋_GB2312" w:cs="Times New Roman" w:hAnsiTheme="minorEastAsia"/>
          <w:bCs/>
          <w:sz w:val="32"/>
          <w:szCs w:val="32"/>
        </w:rPr>
        <w:t>王老师：华为集团原融资部部长、华为大学特聘教授、高级管理顾问。曾在华为的国内和海外市场、集团财经等负责过市场、资金、融资等业务。</w:t>
      </w:r>
    </w:p>
    <w:p>
      <w:pPr>
        <w:spacing w:line="360" w:lineRule="auto"/>
        <w:rPr>
          <w:rFonts w:hint="eastAsia" w:ascii="仿宋_GB2312" w:eastAsia="仿宋_GB2312" w:cs="Times New Roman" w:hAnsiTheme="minorEastAsia"/>
          <w:bCs/>
          <w:sz w:val="32"/>
          <w:szCs w:val="32"/>
        </w:rPr>
      </w:pPr>
      <w:r>
        <w:rPr>
          <w:rFonts w:hint="eastAsia" w:ascii="仿宋_GB2312" w:eastAsia="仿宋_GB2312" w:cs="Times New Roman" w:hAnsiTheme="minorEastAsia"/>
          <w:bCs/>
          <w:sz w:val="32"/>
          <w:szCs w:val="32"/>
        </w:rPr>
        <w:t>刘老师：中南财经政法大学会计学院教授，同时担任多家企业的独立董事和财务顾问。</w:t>
      </w:r>
    </w:p>
    <w:p>
      <w:pPr>
        <w:spacing w:line="360" w:lineRule="auto"/>
        <w:rPr>
          <w:rFonts w:hint="eastAsia" w:ascii="仿宋_GB2312" w:eastAsia="仿宋_GB2312" w:cs="Times New Roman" w:hAnsiTheme="minorEastAsia"/>
          <w:bCs/>
          <w:sz w:val="32"/>
          <w:szCs w:val="32"/>
        </w:rPr>
      </w:pPr>
      <w:r>
        <w:rPr>
          <w:rFonts w:hint="eastAsia" w:ascii="仿宋_GB2312" w:eastAsia="仿宋_GB2312" w:cs="Times New Roman" w:hAnsiTheme="minorEastAsia"/>
          <w:bCs/>
          <w:sz w:val="32"/>
          <w:szCs w:val="32"/>
        </w:rPr>
        <w:t>以及其他资深专家。</w:t>
      </w:r>
    </w:p>
    <w:p>
      <w:pPr>
        <w:pStyle w:val="9"/>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六、学员评价</w:t>
      </w:r>
    </w:p>
    <w:p>
      <w:pPr>
        <w:pStyle w:val="9"/>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老师讲了很多案例和干货，更进一步了解了现金流与营运资本管理知识，开阔了视野。</w:t>
      </w:r>
    </w:p>
    <w:p>
      <w:pPr>
        <w:pStyle w:val="9"/>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——朱同学 某煤业有限责任公司财务资金部副主任</w:t>
      </w:r>
    </w:p>
    <w:p>
      <w:pPr>
        <w:pStyle w:val="9"/>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老师水平很高，对现金流和风险的预计、规避、处理等都有了实际性的收获。</w:t>
      </w:r>
    </w:p>
    <w:p>
      <w:pPr>
        <w:pStyle w:val="9"/>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——赵同学 某家具有限公司区域财务经理</w:t>
      </w:r>
    </w:p>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七、收费标准</w:t>
      </w:r>
    </w:p>
    <w:p>
      <w:pPr>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1.培训费：4900元/人；</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2.食宿统一安排，费用自理，具体标准以开课通知为准。</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3.费用支付方式：培训费由上海国家会计学院收取，支付宝/微信扫码、汇款。食宿费由酒店收取，现场支付。</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4.关于发票：培训费发票由学院提供；食宿发票由酒店提供。</w:t>
      </w:r>
    </w:p>
    <w:p>
      <w:pPr>
        <w:widowControl/>
        <w:spacing w:line="360" w:lineRule="auto"/>
        <w:jc w:val="left"/>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八、结业证书</w:t>
      </w:r>
    </w:p>
    <w:p>
      <w:pPr>
        <w:widowControl/>
        <w:spacing w:line="360" w:lineRule="auto"/>
        <w:ind w:left="32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培训班结束后由学院颁发结业证书，并注明学时。继续教育</w:t>
      </w:r>
    </w:p>
    <w:p>
      <w:pPr>
        <w:widowControl/>
        <w:spacing w:line="360" w:lineRule="auto"/>
        <w:ind w:left="32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学时认定事宜，烦请学员咨询当地主管部门。</w:t>
      </w:r>
    </w:p>
    <w:p>
      <w:pPr>
        <w:widowControl/>
        <w:spacing w:line="360" w:lineRule="auto"/>
        <w:ind w:left="321" w:hanging="321" w:hangingChars="100"/>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九、报名咨询</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请参加人员填写《报名表》（附后），我们将在开课前一周向报名学员发送《开课通知》。</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报名咨询</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联系人：黄老师18610843353（同微信）</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邮箱：284828890@qq.com</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课程咨询</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联系人：马</w:t>
      </w:r>
      <w:r>
        <w:rPr>
          <w:rFonts w:hint="eastAsia" w:ascii="仿宋_GB2312" w:hAnsi="仿宋_GB2312" w:eastAsia="仿宋_GB2312" w:cs="仿宋_GB2312"/>
          <w:sz w:val="32"/>
          <w:szCs w:val="32"/>
          <w:lang w:val="en-US" w:eastAsia="zh-Hans"/>
        </w:rPr>
        <w:t>老师</w:t>
      </w:r>
      <w:bookmarkStart w:id="0" w:name="_GoBack"/>
      <w:bookmarkEnd w:id="0"/>
      <w:r>
        <w:rPr>
          <w:rFonts w:hint="eastAsia" w:ascii="仿宋_GB2312" w:hAnsi="仿宋_GB2312" w:eastAsia="仿宋_GB2312" w:cs="仿宋_GB2312"/>
          <w:sz w:val="32"/>
          <w:szCs w:val="32"/>
        </w:rPr>
        <w:t xml:space="preserve">021-39768388 </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邮箱：maxiaochu@snai.edu</w:t>
      </w:r>
    </w:p>
    <w:p>
      <w:pPr>
        <w:tabs>
          <w:tab w:val="left" w:pos="360"/>
          <w:tab w:val="left" w:pos="540"/>
        </w:tabs>
        <w:spacing w:line="400" w:lineRule="exact"/>
        <w:rPr>
          <w:rFonts w:hint="eastAsia" w:ascii="宋体" w:hAnsi="宋体" w:cs="宋体"/>
          <w:b/>
          <w:bCs/>
          <w:color w:val="000000" w:themeColor="text1"/>
          <w:sz w:val="24"/>
          <w:szCs w:val="24"/>
          <w14:textFill>
            <w14:solidFill>
              <w14:schemeClr w14:val="tx1"/>
            </w14:solidFill>
          </w14:textFill>
        </w:rPr>
      </w:pPr>
    </w:p>
    <w:p>
      <w:pPr>
        <w:tabs>
          <w:tab w:val="left" w:pos="360"/>
          <w:tab w:val="left" w:pos="540"/>
        </w:tabs>
        <w:spacing w:line="400" w:lineRule="exact"/>
        <w:rPr>
          <w:rFonts w:hint="eastAsia" w:ascii="宋体" w:hAnsi="宋体" w:cs="宋体"/>
          <w:b/>
          <w:bCs/>
          <w:color w:val="000000" w:themeColor="text1"/>
          <w:sz w:val="24"/>
          <w:szCs w:val="24"/>
          <w14:textFill>
            <w14:solidFill>
              <w14:schemeClr w14:val="tx1"/>
            </w14:solidFill>
          </w14:textFill>
        </w:rPr>
      </w:pPr>
    </w:p>
    <w:p>
      <w:pPr>
        <w:widowControl/>
        <w:tabs>
          <w:tab w:val="center" w:pos="4766"/>
          <w:tab w:val="left" w:pos="6716"/>
        </w:tabs>
        <w:spacing w:line="360" w:lineRule="auto"/>
        <w:rPr>
          <w:rFonts w:hint="eastAsia" w:ascii="宋体" w:hAnsi="宋体" w:eastAsia="宋体" w:cs="微软雅黑"/>
          <w:b/>
          <w:bCs/>
          <w:color w:val="000000" w:themeColor="text1"/>
          <w:sz w:val="36"/>
          <w:szCs w:val="36"/>
          <w14:textFill>
            <w14:solidFill>
              <w14:schemeClr w14:val="tx1"/>
            </w14:solidFill>
          </w14:textFill>
        </w:rPr>
      </w:pPr>
      <w:r>
        <w:rPr>
          <w:rFonts w:hint="eastAsia" w:ascii="宋体" w:hAnsi="宋体" w:eastAsia="宋体" w:cs="微软雅黑"/>
          <w:b/>
          <w:bCs/>
          <w:color w:val="000000" w:themeColor="text1"/>
          <w:sz w:val="36"/>
          <w:szCs w:val="36"/>
          <w14:textFill>
            <w14:solidFill>
              <w14:schemeClr w14:val="tx1"/>
            </w14:solidFill>
          </w14:textFill>
        </w:rPr>
        <w:t>附件二：</w:t>
      </w:r>
    </w:p>
    <w:p>
      <w:pPr>
        <w:widowControl/>
        <w:tabs>
          <w:tab w:val="center" w:pos="4766"/>
          <w:tab w:val="left" w:pos="6716"/>
        </w:tabs>
        <w:spacing w:line="360" w:lineRule="auto"/>
        <w:jc w:val="center"/>
        <w:rPr>
          <w:rFonts w:hint="eastAsia" w:ascii="仿宋_GB2312" w:hAnsi="宋体" w:eastAsia="仿宋_GB2312" w:cs="宋体"/>
          <w:b/>
          <w:bCs/>
          <w:color w:val="000000"/>
          <w:kern w:val="0"/>
          <w:sz w:val="30"/>
          <w:szCs w:val="30"/>
        </w:rPr>
      </w:pPr>
      <w:r>
        <w:rPr>
          <w:rFonts w:hint="eastAsia" w:ascii="宋体" w:hAnsi="宋体" w:eastAsia="宋体" w:cs="微软雅黑"/>
          <w:b/>
          <w:bCs/>
          <w:color w:val="000000" w:themeColor="text1"/>
          <w:sz w:val="32"/>
          <w:szCs w:val="32"/>
          <w14:textFill>
            <w14:solidFill>
              <w14:schemeClr w14:val="tx1"/>
            </w14:solidFill>
          </w14:textFill>
        </w:rPr>
        <w:t>上海国家会计学院“现金流与营运资本管理”报名表</w:t>
      </w:r>
    </w:p>
    <w:tbl>
      <w:tblPr>
        <w:tblStyle w:val="5"/>
        <w:tblpPr w:leftFromText="180" w:rightFromText="180" w:vertAnchor="text" w:horzAnchor="page" w:tblpX="1455" w:tblpY="156"/>
        <w:tblOverlap w:val="never"/>
        <w:tblW w:w="9297"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554"/>
        <w:gridCol w:w="767"/>
        <w:gridCol w:w="368"/>
        <w:gridCol w:w="699"/>
        <w:gridCol w:w="1102"/>
        <w:gridCol w:w="467"/>
        <w:gridCol w:w="1275"/>
        <w:gridCol w:w="606"/>
        <w:gridCol w:w="670"/>
        <w:gridCol w:w="1789"/>
      </w:tblGrid>
      <w:tr>
        <w:trPr>
          <w:trHeight w:val="644"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before="156" w:after="156"/>
              <w:jc w:val="center"/>
              <w:rPr>
                <w:rFonts w:hint="eastAsia" w:ascii="宋体" w:hAnsi="宋体"/>
                <w:color w:val="000000"/>
                <w:szCs w:val="21"/>
              </w:rPr>
            </w:pPr>
            <w:r>
              <w:rPr>
                <w:rFonts w:hint="eastAsia" w:ascii="宋体" w:hAnsi="宋体"/>
                <w:b/>
                <w:color w:val="000000"/>
                <w:szCs w:val="21"/>
              </w:rPr>
              <w:t>单位名称</w:t>
            </w:r>
          </w:p>
        </w:tc>
        <w:tc>
          <w:tcPr>
            <w:tcW w:w="4678"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autoSpaceDN w:val="0"/>
              <w:ind w:right="960"/>
              <w:rPr>
                <w:rFonts w:hint="eastAsia" w:ascii="宋体" w:hAnsi="宋体"/>
                <w:color w:val="000000"/>
                <w:szCs w:val="21"/>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ordWrap w:val="0"/>
              <w:autoSpaceDN w:val="0"/>
              <w:ind w:right="211"/>
              <w:jc w:val="right"/>
              <w:rPr>
                <w:rFonts w:hint="eastAsia" w:ascii="宋体" w:hAnsi="宋体"/>
                <w:color w:val="000000"/>
                <w:szCs w:val="21"/>
              </w:rPr>
            </w:pPr>
            <w:r>
              <w:rPr>
                <w:rFonts w:hint="eastAsia" w:ascii="宋体" w:hAnsi="宋体"/>
                <w:b/>
                <w:color w:val="000000"/>
                <w:szCs w:val="21"/>
              </w:rPr>
              <w:t>单位所在地</w:t>
            </w:r>
          </w:p>
        </w:tc>
        <w:tc>
          <w:tcPr>
            <w:tcW w:w="1789" w:type="dxa"/>
            <w:tcBorders>
              <w:top w:val="single" w:color="000000" w:sz="4" w:space="0"/>
              <w:left w:val="single" w:color="000000" w:sz="4" w:space="0"/>
              <w:bottom w:val="single" w:color="000000" w:sz="4" w:space="0"/>
              <w:right w:val="single" w:color="000000" w:sz="4" w:space="0"/>
            </w:tcBorders>
            <w:vAlign w:val="center"/>
          </w:tcPr>
          <w:p>
            <w:pPr>
              <w:wordWrap w:val="0"/>
              <w:autoSpaceDN w:val="0"/>
              <w:jc w:val="right"/>
              <w:rPr>
                <w:rFonts w:hint="eastAsia" w:ascii="宋体" w:hAnsi="宋体"/>
                <w:color w:val="000000"/>
                <w:szCs w:val="21"/>
              </w:rPr>
            </w:pPr>
            <w:r>
              <w:rPr>
                <w:rFonts w:hint="eastAsia" w:ascii="宋体" w:hAnsi="宋体"/>
                <w:b/>
                <w:bCs/>
                <w:color w:val="000000"/>
                <w:szCs w:val="21"/>
                <w:u w:val="single"/>
              </w:rPr>
              <w:t xml:space="preserve"> </w:t>
            </w:r>
            <w:r>
              <w:rPr>
                <w:rFonts w:ascii="宋体" w:hAnsi="宋体"/>
                <w:b/>
                <w:bCs/>
                <w:color w:val="000000"/>
                <w:szCs w:val="21"/>
                <w:u w:val="single"/>
              </w:rPr>
              <w:t xml:space="preserve">    </w:t>
            </w:r>
            <w:r>
              <w:rPr>
                <w:rFonts w:hint="eastAsia" w:ascii="宋体" w:hAnsi="宋体"/>
                <w:b/>
                <w:bCs/>
                <w:color w:val="000000"/>
                <w:szCs w:val="21"/>
              </w:rPr>
              <w:t>省</w:t>
            </w:r>
            <w:r>
              <w:rPr>
                <w:rFonts w:hint="eastAsia" w:ascii="宋体" w:hAnsi="宋体"/>
                <w:b/>
                <w:bCs/>
                <w:color w:val="000000"/>
                <w:szCs w:val="21"/>
                <w:u w:val="single"/>
              </w:rPr>
              <w:t xml:space="preserve"> </w:t>
            </w:r>
            <w:r>
              <w:rPr>
                <w:rFonts w:ascii="宋体" w:hAnsi="宋体"/>
                <w:b/>
                <w:bCs/>
                <w:color w:val="000000"/>
                <w:szCs w:val="21"/>
                <w:u w:val="single"/>
              </w:rPr>
              <w:t xml:space="preserve">   </w:t>
            </w:r>
            <w:r>
              <w:rPr>
                <w:rFonts w:hint="eastAsia" w:ascii="宋体" w:hAnsi="宋体"/>
                <w:b/>
                <w:bCs/>
                <w:color w:val="000000"/>
                <w:szCs w:val="21"/>
              </w:rPr>
              <w:t>市</w:t>
            </w:r>
          </w:p>
        </w:tc>
      </w:tr>
      <w:tr>
        <w:trPr>
          <w:trHeight w:val="580"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宋体" w:hAnsi="宋体"/>
                <w:color w:val="000000"/>
                <w:szCs w:val="21"/>
              </w:rPr>
            </w:pPr>
            <w:r>
              <w:rPr>
                <w:rFonts w:ascii="宋体" w:hAnsi="宋体"/>
                <w:b/>
                <w:color w:val="000000"/>
                <w:szCs w:val="21"/>
              </w:rPr>
              <w:t>联系人</w:t>
            </w:r>
            <w:r>
              <w:rPr>
                <w:rFonts w:hint="eastAsia" w:ascii="宋体" w:hAnsi="宋体"/>
                <w:b/>
                <w:color w:val="000000"/>
                <w:szCs w:val="21"/>
              </w:rPr>
              <w:t>姓名</w:t>
            </w:r>
          </w:p>
        </w:tc>
        <w:tc>
          <w:tcPr>
            <w:tcW w:w="113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ascii="宋体" w:hAnsi="宋体"/>
                <w:color w:val="000000"/>
                <w:szCs w:val="21"/>
              </w:rPr>
            </w:pPr>
          </w:p>
        </w:tc>
        <w:tc>
          <w:tcPr>
            <w:tcW w:w="6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手机</w:t>
            </w:r>
          </w:p>
        </w:tc>
        <w:tc>
          <w:tcPr>
            <w:tcW w:w="2844"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p>
        </w:tc>
        <w:tc>
          <w:tcPr>
            <w:tcW w:w="606"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ascii="宋体" w:hAnsi="宋体"/>
                <w:b/>
                <w:color w:val="000000"/>
                <w:szCs w:val="21"/>
              </w:rPr>
              <w:t>邮箱</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宋体" w:hAnsi="宋体"/>
                <w:b/>
                <w:color w:val="000000"/>
                <w:szCs w:val="21"/>
              </w:rPr>
            </w:pPr>
            <w:r>
              <w:rPr>
                <w:rFonts w:hint="eastAsia" w:ascii="宋体" w:hAnsi="宋体"/>
                <w:b/>
                <w:color w:val="000000"/>
                <w:szCs w:val="21"/>
              </w:rPr>
              <w:t>学员姓名</w:t>
            </w: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ascii="宋体" w:hAnsi="宋体"/>
                <w:b/>
                <w:color w:val="000000"/>
                <w:spacing w:val="-26"/>
                <w:szCs w:val="21"/>
              </w:rPr>
            </w:pPr>
            <w:r>
              <w:rPr>
                <w:rFonts w:ascii="宋体" w:hAnsi="宋体"/>
                <w:b/>
                <w:color w:val="000000"/>
                <w:spacing w:val="-26"/>
                <w:szCs w:val="21"/>
              </w:rPr>
              <w:t>性别</w:t>
            </w: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部门</w:t>
            </w: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职务</w:t>
            </w: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手机</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ascii="宋体" w:hAnsi="宋体"/>
                <w:b/>
                <w:color w:val="000000"/>
                <w:szCs w:val="21"/>
              </w:rPr>
              <w:t>邮箱</w:t>
            </w: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1296" w:hRule="atLeast"/>
        </w:trPr>
        <w:tc>
          <w:tcPr>
            <w:tcW w:w="449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宋体" w:hAnsi="宋体"/>
                <w:b/>
                <w:color w:val="000000"/>
                <w:szCs w:val="21"/>
              </w:rPr>
            </w:pPr>
            <w:r>
              <w:rPr>
                <w:rFonts w:hint="eastAsia" w:ascii="宋体" w:hAnsi="宋体"/>
                <w:b/>
                <w:color w:val="000000"/>
                <w:szCs w:val="21"/>
              </w:rPr>
              <w:t>报名程序：</w:t>
            </w:r>
          </w:p>
          <w:p>
            <w:pPr>
              <w:tabs>
                <w:tab w:val="left" w:pos="360"/>
                <w:tab w:val="left" w:pos="540"/>
              </w:tabs>
              <w:autoSpaceDN w:val="0"/>
              <w:ind w:left="27"/>
              <w:jc w:val="left"/>
              <w:rPr>
                <w:rFonts w:hint="eastAsia" w:ascii="宋体" w:hAnsi="宋体"/>
                <w:bCs/>
                <w:color w:val="000000"/>
                <w:szCs w:val="21"/>
              </w:rPr>
            </w:pPr>
            <w:r>
              <w:rPr>
                <w:rFonts w:hint="eastAsia" w:ascii="宋体" w:hAnsi="宋体"/>
                <w:bCs/>
                <w:color w:val="000000"/>
                <w:szCs w:val="21"/>
              </w:rPr>
              <w:t>培训费支付：刷卡/支付宝/微信/汇款，其中院外培训不支持刷卡。食宿费现场交纳。</w:t>
            </w:r>
          </w:p>
        </w:tc>
        <w:tc>
          <w:tcPr>
            <w:tcW w:w="4807"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宋体" w:hAnsi="宋体"/>
                <w:b/>
                <w:color w:val="000000"/>
                <w:szCs w:val="21"/>
              </w:rPr>
            </w:pPr>
            <w:r>
              <w:rPr>
                <w:rFonts w:hint="eastAsia" w:ascii="宋体" w:hAnsi="宋体"/>
                <w:b/>
                <w:color w:val="000000"/>
                <w:szCs w:val="21"/>
              </w:rPr>
              <w:t>学院账户：</w:t>
            </w:r>
          </w:p>
          <w:p>
            <w:pPr>
              <w:tabs>
                <w:tab w:val="left" w:pos="360"/>
                <w:tab w:val="left" w:pos="540"/>
              </w:tabs>
              <w:wordWrap w:val="0"/>
              <w:autoSpaceDN w:val="0"/>
              <w:rPr>
                <w:rFonts w:hint="eastAsia" w:ascii="宋体" w:hAnsi="宋体"/>
                <w:bCs/>
                <w:color w:val="000000"/>
                <w:szCs w:val="21"/>
              </w:rPr>
            </w:pPr>
            <w:r>
              <w:rPr>
                <w:rFonts w:hint="eastAsia" w:ascii="宋体" w:hAnsi="宋体"/>
                <w:bCs/>
                <w:color w:val="000000"/>
                <w:szCs w:val="21"/>
              </w:rPr>
              <w:t>学院开户行：中国建设银行上海徐泾支行</w:t>
            </w:r>
          </w:p>
          <w:p>
            <w:pPr>
              <w:tabs>
                <w:tab w:val="left" w:pos="360"/>
                <w:tab w:val="left" w:pos="540"/>
              </w:tabs>
              <w:wordWrap w:val="0"/>
              <w:autoSpaceDN w:val="0"/>
              <w:rPr>
                <w:rFonts w:hint="eastAsia" w:ascii="宋体" w:hAnsi="宋体"/>
                <w:bCs/>
                <w:color w:val="000000"/>
                <w:szCs w:val="21"/>
              </w:rPr>
            </w:pPr>
            <w:r>
              <w:rPr>
                <w:rFonts w:hint="eastAsia" w:ascii="宋体" w:hAnsi="宋体"/>
                <w:bCs/>
                <w:color w:val="000000"/>
                <w:szCs w:val="21"/>
              </w:rPr>
              <w:t>单位名称：上海国家会计学院</w:t>
            </w:r>
          </w:p>
          <w:p>
            <w:pPr>
              <w:tabs>
                <w:tab w:val="left" w:pos="360"/>
                <w:tab w:val="left" w:pos="540"/>
              </w:tabs>
              <w:wordWrap w:val="0"/>
              <w:autoSpaceDN w:val="0"/>
              <w:rPr>
                <w:rFonts w:hint="eastAsia" w:ascii="宋体" w:hAnsi="宋体"/>
                <w:b/>
                <w:color w:val="000000"/>
                <w:szCs w:val="21"/>
              </w:rPr>
            </w:pPr>
            <w:r>
              <w:rPr>
                <w:rFonts w:hint="eastAsia" w:ascii="宋体" w:hAnsi="宋体"/>
                <w:bCs/>
                <w:color w:val="000000"/>
                <w:szCs w:val="21"/>
              </w:rPr>
              <w:t>汇款账号：31001984300059768088</w:t>
            </w:r>
          </w:p>
        </w:tc>
      </w:tr>
      <w:tr>
        <w:trPr>
          <w:trHeight w:val="853" w:hRule="atLeast"/>
        </w:trPr>
        <w:tc>
          <w:tcPr>
            <w:tcW w:w="9297"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spacing w:line="360" w:lineRule="exact"/>
              <w:rPr>
                <w:rFonts w:hint="eastAsia" w:ascii="宋体" w:hAnsi="宋体"/>
                <w:b/>
                <w:color w:val="000000"/>
                <w:szCs w:val="21"/>
              </w:rPr>
            </w:pPr>
            <w:r>
              <w:rPr>
                <w:rFonts w:hint="eastAsia" w:ascii="宋体" w:hAnsi="宋体"/>
                <w:b/>
                <w:color w:val="000000"/>
                <w:szCs w:val="21"/>
              </w:rPr>
              <w:t>报名咨询：</w:t>
            </w:r>
          </w:p>
          <w:p>
            <w:pPr>
              <w:tabs>
                <w:tab w:val="left" w:pos="360"/>
                <w:tab w:val="left" w:pos="540"/>
              </w:tabs>
              <w:autoSpaceDN w:val="0"/>
              <w:spacing w:line="360" w:lineRule="exact"/>
              <w:rPr>
                <w:rFonts w:hint="eastAsia" w:ascii="宋体" w:hAnsi="宋体"/>
                <w:bCs/>
                <w:color w:val="000000"/>
                <w:szCs w:val="21"/>
              </w:rPr>
            </w:pPr>
            <w:r>
              <w:rPr>
                <w:rFonts w:hint="eastAsia" w:ascii="宋体" w:hAnsi="宋体"/>
                <w:bCs/>
                <w:color w:val="000000"/>
                <w:szCs w:val="21"/>
              </w:rPr>
              <w:t xml:space="preserve">黄老师：18610843353（同微信）  邮箱：284828890@qq.com </w:t>
            </w:r>
          </w:p>
        </w:tc>
      </w:tr>
    </w:tbl>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Kaiti SC">
    <w:panose1 w:val="02010600040101010101"/>
    <w:charset w:val="86"/>
    <w:family w:val="auto"/>
    <w:pitch w:val="default"/>
    <w:sig w:usb0="00000000" w:usb1="00000000" w:usb2="00000000" w:usb3="00000000" w:csb0="001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Songti SC">
    <w:panose1 w:val="0201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E3462D"/>
    <w:multiLevelType w:val="multilevel"/>
    <w:tmpl w:val="33E3462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3ZDExZmIxNzA0YjNhYzI5NTRlYjJjYTFlNTE2ZGIifQ=="/>
  </w:docVars>
  <w:rsids>
    <w:rsidRoot w:val="61492BE8"/>
    <w:rsid w:val="000142B0"/>
    <w:rsid w:val="00033FAC"/>
    <w:rsid w:val="0005541F"/>
    <w:rsid w:val="000578F7"/>
    <w:rsid w:val="000601B5"/>
    <w:rsid w:val="00077C55"/>
    <w:rsid w:val="00085325"/>
    <w:rsid w:val="000979CC"/>
    <w:rsid w:val="000A4DA4"/>
    <w:rsid w:val="000D358C"/>
    <w:rsid w:val="000E382A"/>
    <w:rsid w:val="000E4D92"/>
    <w:rsid w:val="000F5390"/>
    <w:rsid w:val="00113FB2"/>
    <w:rsid w:val="0012772E"/>
    <w:rsid w:val="00127971"/>
    <w:rsid w:val="00154182"/>
    <w:rsid w:val="00160AA2"/>
    <w:rsid w:val="00171E6D"/>
    <w:rsid w:val="001A222A"/>
    <w:rsid w:val="001B17AD"/>
    <w:rsid w:val="001C2829"/>
    <w:rsid w:val="001D6049"/>
    <w:rsid w:val="001D6200"/>
    <w:rsid w:val="001E4942"/>
    <w:rsid w:val="00233693"/>
    <w:rsid w:val="0027537C"/>
    <w:rsid w:val="00290C8C"/>
    <w:rsid w:val="00292D15"/>
    <w:rsid w:val="002946DD"/>
    <w:rsid w:val="002A62D3"/>
    <w:rsid w:val="002C1C93"/>
    <w:rsid w:val="002D0C1C"/>
    <w:rsid w:val="002D4578"/>
    <w:rsid w:val="002F0794"/>
    <w:rsid w:val="002F591B"/>
    <w:rsid w:val="002F69C8"/>
    <w:rsid w:val="003026BD"/>
    <w:rsid w:val="00324AB5"/>
    <w:rsid w:val="003253B5"/>
    <w:rsid w:val="00325C9F"/>
    <w:rsid w:val="00326D43"/>
    <w:rsid w:val="003437B4"/>
    <w:rsid w:val="00345D23"/>
    <w:rsid w:val="00354A97"/>
    <w:rsid w:val="003B1036"/>
    <w:rsid w:val="003B6F3D"/>
    <w:rsid w:val="003C107D"/>
    <w:rsid w:val="003C64DE"/>
    <w:rsid w:val="003C6EFF"/>
    <w:rsid w:val="004029B2"/>
    <w:rsid w:val="00402A99"/>
    <w:rsid w:val="00423065"/>
    <w:rsid w:val="0042599A"/>
    <w:rsid w:val="0043127C"/>
    <w:rsid w:val="00457DED"/>
    <w:rsid w:val="00471018"/>
    <w:rsid w:val="0048726C"/>
    <w:rsid w:val="00487AD4"/>
    <w:rsid w:val="004914E7"/>
    <w:rsid w:val="004B1991"/>
    <w:rsid w:val="004B707F"/>
    <w:rsid w:val="004D14EF"/>
    <w:rsid w:val="004D181C"/>
    <w:rsid w:val="00503DB8"/>
    <w:rsid w:val="0050583D"/>
    <w:rsid w:val="0051531E"/>
    <w:rsid w:val="00536CAA"/>
    <w:rsid w:val="005401EA"/>
    <w:rsid w:val="00540F53"/>
    <w:rsid w:val="00546592"/>
    <w:rsid w:val="0055202B"/>
    <w:rsid w:val="005623C7"/>
    <w:rsid w:val="00571BB0"/>
    <w:rsid w:val="00573D9C"/>
    <w:rsid w:val="005776E9"/>
    <w:rsid w:val="00580021"/>
    <w:rsid w:val="005A6855"/>
    <w:rsid w:val="005E5C98"/>
    <w:rsid w:val="006065D4"/>
    <w:rsid w:val="0061113A"/>
    <w:rsid w:val="00632661"/>
    <w:rsid w:val="006579C3"/>
    <w:rsid w:val="006643A6"/>
    <w:rsid w:val="00674431"/>
    <w:rsid w:val="00687FB9"/>
    <w:rsid w:val="006946B0"/>
    <w:rsid w:val="006A31A2"/>
    <w:rsid w:val="006A6AB3"/>
    <w:rsid w:val="006B2D8B"/>
    <w:rsid w:val="006B48D9"/>
    <w:rsid w:val="00710B9F"/>
    <w:rsid w:val="00731157"/>
    <w:rsid w:val="00735A4E"/>
    <w:rsid w:val="00741B73"/>
    <w:rsid w:val="007652B1"/>
    <w:rsid w:val="00770419"/>
    <w:rsid w:val="007C03A8"/>
    <w:rsid w:val="007C21CA"/>
    <w:rsid w:val="007D5094"/>
    <w:rsid w:val="007F001D"/>
    <w:rsid w:val="007F2D98"/>
    <w:rsid w:val="00801298"/>
    <w:rsid w:val="008236BA"/>
    <w:rsid w:val="008313E0"/>
    <w:rsid w:val="008658A4"/>
    <w:rsid w:val="008679A4"/>
    <w:rsid w:val="00885B2C"/>
    <w:rsid w:val="008B5230"/>
    <w:rsid w:val="008B54BE"/>
    <w:rsid w:val="008D5A3E"/>
    <w:rsid w:val="008D6175"/>
    <w:rsid w:val="008E3FC2"/>
    <w:rsid w:val="00922539"/>
    <w:rsid w:val="0092395E"/>
    <w:rsid w:val="00932F04"/>
    <w:rsid w:val="009338D1"/>
    <w:rsid w:val="009349DC"/>
    <w:rsid w:val="00953BF4"/>
    <w:rsid w:val="00953EA6"/>
    <w:rsid w:val="00983EEB"/>
    <w:rsid w:val="009B6D1E"/>
    <w:rsid w:val="009E7A79"/>
    <w:rsid w:val="00A050A7"/>
    <w:rsid w:val="00A444B9"/>
    <w:rsid w:val="00A44D08"/>
    <w:rsid w:val="00A74C72"/>
    <w:rsid w:val="00A76A4D"/>
    <w:rsid w:val="00A81E4E"/>
    <w:rsid w:val="00A822BA"/>
    <w:rsid w:val="00A83A68"/>
    <w:rsid w:val="00A8633E"/>
    <w:rsid w:val="00A87034"/>
    <w:rsid w:val="00A95596"/>
    <w:rsid w:val="00AB2854"/>
    <w:rsid w:val="00AC391D"/>
    <w:rsid w:val="00AE05F5"/>
    <w:rsid w:val="00B03D41"/>
    <w:rsid w:val="00B178A7"/>
    <w:rsid w:val="00B22B1F"/>
    <w:rsid w:val="00B2420E"/>
    <w:rsid w:val="00B269B8"/>
    <w:rsid w:val="00B43A8E"/>
    <w:rsid w:val="00B51E24"/>
    <w:rsid w:val="00B52B86"/>
    <w:rsid w:val="00BA07A1"/>
    <w:rsid w:val="00BA0D5B"/>
    <w:rsid w:val="00BB342E"/>
    <w:rsid w:val="00BC2151"/>
    <w:rsid w:val="00BC5E31"/>
    <w:rsid w:val="00BF08DE"/>
    <w:rsid w:val="00C179D5"/>
    <w:rsid w:val="00C30BE5"/>
    <w:rsid w:val="00C37298"/>
    <w:rsid w:val="00C52248"/>
    <w:rsid w:val="00C63D7A"/>
    <w:rsid w:val="00C74BC5"/>
    <w:rsid w:val="00C96203"/>
    <w:rsid w:val="00C97035"/>
    <w:rsid w:val="00CB727B"/>
    <w:rsid w:val="00CE5CFC"/>
    <w:rsid w:val="00D1133D"/>
    <w:rsid w:val="00D12464"/>
    <w:rsid w:val="00D212B1"/>
    <w:rsid w:val="00D2454C"/>
    <w:rsid w:val="00D247FD"/>
    <w:rsid w:val="00D5755E"/>
    <w:rsid w:val="00D6653B"/>
    <w:rsid w:val="00D75A44"/>
    <w:rsid w:val="00D802B0"/>
    <w:rsid w:val="00D926E3"/>
    <w:rsid w:val="00DA4B48"/>
    <w:rsid w:val="00DB6C18"/>
    <w:rsid w:val="00DD5D94"/>
    <w:rsid w:val="00DD7810"/>
    <w:rsid w:val="00DE678B"/>
    <w:rsid w:val="00E15811"/>
    <w:rsid w:val="00E1763B"/>
    <w:rsid w:val="00E21711"/>
    <w:rsid w:val="00E309C6"/>
    <w:rsid w:val="00E36D92"/>
    <w:rsid w:val="00E37700"/>
    <w:rsid w:val="00E44E60"/>
    <w:rsid w:val="00E546E3"/>
    <w:rsid w:val="00E57B8A"/>
    <w:rsid w:val="00E64D94"/>
    <w:rsid w:val="00E66FDA"/>
    <w:rsid w:val="00EA7D75"/>
    <w:rsid w:val="00ED1D1C"/>
    <w:rsid w:val="00EE1847"/>
    <w:rsid w:val="00EF27A9"/>
    <w:rsid w:val="00EF2CB6"/>
    <w:rsid w:val="00EF2FA6"/>
    <w:rsid w:val="00F16E46"/>
    <w:rsid w:val="00F57EE9"/>
    <w:rsid w:val="00F615BB"/>
    <w:rsid w:val="00F7357C"/>
    <w:rsid w:val="00F90FC5"/>
    <w:rsid w:val="00FA1627"/>
    <w:rsid w:val="00FA447E"/>
    <w:rsid w:val="00FA4638"/>
    <w:rsid w:val="00FB42B1"/>
    <w:rsid w:val="00FD420F"/>
    <w:rsid w:val="00FD63DA"/>
    <w:rsid w:val="00FE654F"/>
    <w:rsid w:val="058F710B"/>
    <w:rsid w:val="1760707B"/>
    <w:rsid w:val="43FF5EC3"/>
    <w:rsid w:val="5FE43C6C"/>
    <w:rsid w:val="61492BE8"/>
    <w:rsid w:val="61C530DE"/>
    <w:rsid w:val="6D535020"/>
    <w:rsid w:val="7FDB27EA"/>
    <w:rsid w:val="BDFB9F13"/>
    <w:rsid w:val="FD775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0"/>
    <w:pPr>
      <w:ind w:left="100" w:leftChars="2500"/>
    </w:p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paragraph" w:styleId="9">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0">
    <w:name w:val="页眉 字符"/>
    <w:basedOn w:val="6"/>
    <w:link w:val="4"/>
    <w:qFormat/>
    <w:uiPriority w:val="0"/>
    <w:rPr>
      <w:kern w:val="2"/>
      <w:sz w:val="18"/>
      <w:szCs w:val="18"/>
    </w:rPr>
  </w:style>
  <w:style w:type="character" w:customStyle="1" w:styleId="11">
    <w:name w:val="页脚 字符"/>
    <w:basedOn w:val="6"/>
    <w:link w:val="3"/>
    <w:qFormat/>
    <w:uiPriority w:val="0"/>
    <w:rPr>
      <w:kern w:val="2"/>
      <w:sz w:val="18"/>
      <w:szCs w:val="18"/>
    </w:rPr>
  </w:style>
  <w:style w:type="character" w:customStyle="1" w:styleId="12">
    <w:name w:val="日期 字符"/>
    <w:basedOn w:val="6"/>
    <w:link w:val="2"/>
    <w:semiHidden/>
    <w:qFormat/>
    <w:uiPriority w:val="0"/>
    <w:rPr>
      <w:kern w:val="2"/>
      <w:sz w:val="21"/>
      <w:szCs w:val="22"/>
    </w:rPr>
  </w:style>
  <w:style w:type="paragraph" w:customStyle="1" w:styleId="13">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heiyangsuxiaotangyuan/Library/Containers/com.kingsoft.wpsoffice.mac/Data/C:\Users\yanzi\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Pages>
  <Words>328</Words>
  <Characters>1872</Characters>
  <Lines>15</Lines>
  <Paragraphs>4</Paragraphs>
  <TotalTime>14</TotalTime>
  <ScaleCrop>false</ScaleCrop>
  <LinksUpToDate>false</LinksUpToDate>
  <CharactersWithSpaces>2196</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2023-12-15T21:06:00Z</dcterms:created>
  <dc:creator>乱烬繁华°</dc:creator>
  <cp:lastModifiedBy>Daydream</cp:lastModifiedBy>
  <dcterms:modified xsi:type="dcterms:W3CDTF">2025-05-07T13:24:23Z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7FED5DCEA42E44C68C75B22A100C1987_13</vt:lpwstr>
  </property>
</Properties>
</file>