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96"/>
          <w:szCs w:val="96"/>
        </w:rPr>
      </w:pPr>
    </w:p>
    <w:p>
      <w:pPr>
        <w:spacing w:line="360" w:lineRule="auto"/>
        <w:jc w:val="center"/>
        <w:rPr>
          <w:rFonts w:hint="eastAsia" w:ascii="宋体" w:hAnsi="宋体" w:eastAsia="宋体"/>
          <w:b/>
          <w:bCs/>
          <w:color w:val="FF3300"/>
          <w:spacing w:val="-40"/>
          <w:sz w:val="84"/>
          <w:szCs w:val="84"/>
        </w:rPr>
      </w:pPr>
      <w:r>
        <w:rPr>
          <w:rFonts w:hint="eastAsia" w:ascii="宋体" w:hAnsi="宋体" w:eastAsia="宋体"/>
          <w:b/>
          <w:bCs/>
          <w:color w:val="FF3300"/>
          <w:spacing w:val="-40"/>
          <w:sz w:val="84"/>
          <w:szCs w:val="84"/>
        </w:rPr>
        <w:t>上海国家会计学院</w:t>
      </w:r>
    </w:p>
    <w:p>
      <w:pPr>
        <w:spacing w:line="360" w:lineRule="auto"/>
        <w:jc w:val="center"/>
        <w:rPr>
          <w:rFonts w:hint="eastAsia" w:ascii="宋体" w:hAnsi="宋体" w:eastAsia="宋体" w:cs="微软雅黑"/>
          <w:bCs/>
          <w:sz w:val="32"/>
          <w:szCs w:val="32"/>
        </w:rPr>
      </w:pPr>
      <w:r>
        <w:rPr>
          <w:rFonts w:hint="eastAsia" w:ascii="宋体" w:hAnsi="宋体" w:eastAsia="宋体" w:cs="微软雅黑"/>
          <w:bCs/>
          <w:sz w:val="32"/>
          <w:szCs w:val="32"/>
        </w:rPr>
        <w:t>上国会培〔</w:t>
      </w:r>
      <w:r>
        <w:rPr>
          <w:rFonts w:ascii="宋体" w:hAnsi="宋体" w:eastAsia="宋体" w:cs="微软雅黑"/>
          <w:bCs/>
          <w:sz w:val="32"/>
          <w:szCs w:val="32"/>
        </w:rPr>
        <w:t>202</w:t>
      </w:r>
      <w:r>
        <w:rPr>
          <w:rFonts w:hint="eastAsia" w:ascii="宋体" w:hAnsi="宋体" w:eastAsia="宋体" w:cs="微软雅黑"/>
          <w:bCs/>
          <w:sz w:val="32"/>
          <w:szCs w:val="32"/>
        </w:rPr>
        <w:t>5〕</w:t>
      </w:r>
      <w:r>
        <w:rPr>
          <w:rFonts w:ascii="宋体" w:hAnsi="宋体" w:eastAsia="宋体" w:cs="微软雅黑"/>
          <w:bCs/>
          <w:sz w:val="32"/>
          <w:szCs w:val="32"/>
        </w:rPr>
        <w:t>12</w:t>
      </w:r>
      <w:r>
        <w:rPr>
          <w:rFonts w:hint="eastAsia" w:ascii="宋体" w:hAnsi="宋体" w:eastAsia="宋体" w:cs="微软雅黑"/>
          <w:bCs/>
          <w:sz w:val="32"/>
          <w:szCs w:val="32"/>
        </w:rPr>
        <w:t>号</w:t>
      </w:r>
    </w:p>
    <w:p>
      <w:pPr>
        <w:spacing w:line="420" w:lineRule="exact"/>
        <w:rPr>
          <w:rFonts w:hint="eastAsia" w:ascii="宋体" w:hAnsi="宋体" w:eastAsia="宋体"/>
          <w:bCs/>
          <w:sz w:val="42"/>
          <w:szCs w:val="42"/>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97155</wp:posOffset>
                </wp:positionV>
                <wp:extent cx="5461635" cy="13970"/>
                <wp:effectExtent l="0" t="0" r="24765" b="24130"/>
                <wp:wrapNone/>
                <wp:docPr id="4" name="Line 4"/>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7.65pt;height:1.1pt;width:430.05pt;z-index:251659264;mso-width-relative:page;mso-height-relative:page;" filled="f" stroked="t" coordsize="21600,21600" o:gfxdata="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updcm1gAAAAkBAAAPAAAAAAAAAAEAIAAA&#10;ADgAAABkcnMvZG93bnJldi54bWxQSwECFAAUAAAACACHTuJALPZrAr8BAAB8AwAADgAAAAAAAAAB&#10;ACAAAAA7AQAAZHJzL2Uyb0RvYy54bWxQSwUGAAAAAAYABgBZAQAAbAUAAAAA&#10;">
                <v:fill on="f" focussize="0,0"/>
                <v:stroke weight="2pt" color="#FF0000" joinstyle="round"/>
                <v:imagedata o:title=""/>
                <o:lock v:ext="edit" aspectratio="f"/>
              </v:line>
            </w:pict>
          </mc:Fallback>
        </mc:AlternateContent>
      </w:r>
    </w:p>
    <w:p>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关于举办“微咨询课程：业财融合实务与案例”</w:t>
      </w:r>
    </w:p>
    <w:p>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（线上+线下）研修班的通知</w:t>
      </w:r>
    </w:p>
    <w:p>
      <w:pPr>
        <w:pStyle w:val="37"/>
        <w:spacing w:line="360" w:lineRule="auto"/>
        <w:rPr>
          <w:rFonts w:hint="eastAsia" w:ascii="仿宋_GB2312" w:hAnsi="宋体" w:eastAsia="仿宋_GB2312"/>
          <w:sz w:val="32"/>
          <w:szCs w:val="32"/>
        </w:rPr>
      </w:pPr>
      <w:r>
        <w:rPr>
          <w:rFonts w:hint="eastAsia" w:ascii="仿宋_GB2312" w:hAnsi="宋体" w:eastAsia="仿宋_GB2312"/>
          <w:sz w:val="32"/>
          <w:szCs w:val="32"/>
        </w:rPr>
        <w:t>各相关单位：</w:t>
      </w:r>
    </w:p>
    <w:p>
      <w:pPr>
        <w:pStyle w:val="37"/>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财政部发布的《管理会计基本指引》明确“单位应用管理会计，应遵循融合性原则。管理会计应嵌入单位相关领域、层次、环节，以业务流程为基础，利用管理会计工具方法，将财务和业务等有机融合”。我们把“财务与业务活动的有机融合”简称为“业财融合”。</w:t>
      </w:r>
    </w:p>
    <w:p>
      <w:pPr>
        <w:pStyle w:val="37"/>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业财融合是指业务部门与财务部门通过信息化技术和手段实现业务流、资金流、信息流等数据源的及时共享，基于价值目标共同做出规划、决策、控制和评价等管理活动，一起保证企业价值创造过程的实现。</w:t>
      </w:r>
    </w:p>
    <w:p>
      <w:pPr>
        <w:pStyle w:val="37"/>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在数字化时代，财务部门必须转型：借助标准化、自动化和共享服务提高效率，借助云计算、大数据和BI等提供有效的管理信息，通过决策支持和绩效管理发挥更大的影响力和作用，也就是数字化时代的业财融合。</w:t>
      </w:r>
    </w:p>
    <w:p>
      <w:pPr>
        <w:pStyle w:val="37"/>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作为高效的业务合作伙伴，财务人员需要具备综合的专业、沟通及商业能力。为给大家提供业财融合的逻辑与路径参考，上海国家会计学院特开设此次课程，以案例教学的方式，以点带面，逐步深入，让各类企业都能从中找到切入点，开启财务转型创造价值之路。</w:t>
      </w:r>
    </w:p>
    <w:p>
      <w:pPr>
        <w:pStyle w:val="37"/>
        <w:spacing w:line="360" w:lineRule="auto"/>
        <w:ind w:firstLine="640" w:firstLineChars="200"/>
        <w:rPr>
          <w:rFonts w:hint="eastAsia" w:ascii="仿宋_GB2312" w:hAnsi="宋体" w:eastAsia="仿宋_GB2312"/>
          <w:sz w:val="32"/>
          <w:szCs w:val="32"/>
        </w:rPr>
      </w:pPr>
    </w:p>
    <w:p>
      <w:pPr>
        <w:pStyle w:val="37"/>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附件：一、课程简介</w:t>
      </w:r>
    </w:p>
    <w:p>
      <w:pPr>
        <w:pStyle w:val="37"/>
        <w:spacing w:line="360" w:lineRule="auto"/>
        <w:ind w:firstLine="1600" w:firstLineChars="500"/>
        <w:rPr>
          <w:rFonts w:hint="eastAsia" w:ascii="仿宋_GB2312" w:hAnsi="宋体" w:eastAsia="仿宋_GB2312"/>
          <w:sz w:val="32"/>
          <w:szCs w:val="32"/>
        </w:rPr>
      </w:pPr>
      <w:r>
        <w:rPr>
          <w:rFonts w:hint="eastAsia" w:ascii="仿宋_GB2312" w:hAnsi="宋体" w:eastAsia="仿宋_GB2312"/>
          <w:sz w:val="32"/>
          <w:szCs w:val="32"/>
        </w:rPr>
        <w:t>二、报名回执表</w:t>
      </w: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jc w:val="right"/>
        <w:rPr>
          <w:rFonts w:hint="eastAsia" w:ascii="仿宋_GB2312" w:hAnsi="宋体" w:eastAsia="仿宋_GB2312"/>
          <w:sz w:val="32"/>
          <w:szCs w:val="32"/>
        </w:rPr>
      </w:pPr>
      <w:r>
        <w:rPr>
          <w:rFonts w:hint="eastAsia" w:ascii="仿宋_GB2312" w:hAnsi="宋体" w:eastAsia="仿宋_GB2312"/>
          <w:sz w:val="32"/>
          <w:szCs w:val="32"/>
        </w:rPr>
        <w:t>上海国家会计学院</w:t>
      </w:r>
    </w:p>
    <w:p>
      <w:pPr>
        <w:spacing w:line="360" w:lineRule="auto"/>
        <w:jc w:val="right"/>
        <w:rPr>
          <w:rFonts w:hint="eastAsia" w:ascii="仿宋_GB2312" w:hAnsi="宋体" w:eastAsia="仿宋_GB2312"/>
          <w:sz w:val="32"/>
          <w:szCs w:val="32"/>
        </w:rPr>
      </w:pPr>
      <w:r>
        <w:rPr>
          <w:rFonts w:hint="eastAsia" w:ascii="仿宋_GB2312" w:hAnsi="宋体" w:eastAsia="仿宋_GB2312"/>
          <w:sz w:val="32"/>
          <w:szCs w:val="32"/>
        </w:rPr>
        <w:t>教务二部</w:t>
      </w:r>
    </w:p>
    <w:p>
      <w:pPr>
        <w:spacing w:line="360" w:lineRule="auto"/>
        <w:ind w:firstLine="5120" w:firstLineChars="1600"/>
        <w:jc w:val="right"/>
        <w:rPr>
          <w:rFonts w:hint="eastAsia" w:ascii="仿宋_GB2312" w:hAnsi="宋体" w:eastAsia="仿宋_GB2312"/>
          <w:sz w:val="32"/>
          <w:szCs w:val="32"/>
        </w:rPr>
      </w:pPr>
      <w:r>
        <w:rPr>
          <w:rFonts w:hint="eastAsia" w:ascii="仿宋_GB2312" w:hAnsi="宋体" w:eastAsia="仿宋_GB2312"/>
          <w:sz w:val="32"/>
          <w:szCs w:val="32"/>
        </w:rPr>
        <w:t>2025年1月</w:t>
      </w: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pStyle w:val="37"/>
        <w:spacing w:before="156" w:beforeLines="50" w:line="360" w:lineRule="auto"/>
        <w:rPr>
          <w:rFonts w:hint="eastAsia" w:ascii="黑体" w:hAnsi="黑体" w:eastAsia="黑体" w:cs="宋体"/>
          <w:b/>
          <w:bCs/>
          <w:kern w:val="0"/>
          <w:sz w:val="32"/>
          <w:szCs w:val="32"/>
        </w:rPr>
      </w:pPr>
    </w:p>
    <w:p>
      <w:pPr>
        <w:pStyle w:val="37"/>
        <w:spacing w:before="156" w:beforeLines="50" w:line="360" w:lineRule="auto"/>
        <w:rPr>
          <w:rFonts w:hint="eastAsia" w:ascii="黑体" w:hAnsi="黑体" w:eastAsia="黑体" w:cs="宋体"/>
          <w:b/>
          <w:bCs/>
          <w:kern w:val="0"/>
          <w:sz w:val="32"/>
          <w:szCs w:val="32"/>
        </w:rPr>
      </w:pPr>
    </w:p>
    <w:p>
      <w:pPr>
        <w:pStyle w:val="37"/>
        <w:spacing w:before="156" w:beforeLines="50"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pPr>
        <w:spacing w:line="360" w:lineRule="auto"/>
        <w:ind w:left="210" w:leftChars="100"/>
        <w:rPr>
          <w:rFonts w:hint="eastAsia"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一、培训安排</w:t>
      </w:r>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402"/>
        <w:gridCol w:w="1701"/>
        <w:gridCol w:w="2976"/>
      </w:tblGrid>
      <w:tr>
        <w:trPr>
          <w:jc w:val="center"/>
        </w:trPr>
        <w:tc>
          <w:tcPr>
            <w:tcW w:w="155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期数</w:t>
            </w:r>
          </w:p>
        </w:tc>
        <w:tc>
          <w:tcPr>
            <w:tcW w:w="340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培训时间</w:t>
            </w:r>
          </w:p>
        </w:tc>
        <w:tc>
          <w:tcPr>
            <w:tcW w:w="170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报到时间</w:t>
            </w:r>
          </w:p>
        </w:tc>
        <w:tc>
          <w:tcPr>
            <w:tcW w:w="297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培训地点</w:t>
            </w:r>
          </w:p>
        </w:tc>
      </w:tr>
      <w:tr>
        <w:trPr>
          <w:jc w:val="center"/>
        </w:trPr>
        <w:tc>
          <w:tcPr>
            <w:tcW w:w="155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第一期</w:t>
            </w:r>
          </w:p>
        </w:tc>
        <w:tc>
          <w:tcPr>
            <w:tcW w:w="340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3月23-25日</w:t>
            </w:r>
          </w:p>
        </w:tc>
        <w:tc>
          <w:tcPr>
            <w:tcW w:w="170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22日</w:t>
            </w:r>
          </w:p>
        </w:tc>
        <w:tc>
          <w:tcPr>
            <w:tcW w:w="297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上海国家会计学院</w:t>
            </w:r>
          </w:p>
        </w:tc>
      </w:tr>
      <w:tr>
        <w:trPr>
          <w:jc w:val="center"/>
        </w:trPr>
        <w:tc>
          <w:tcPr>
            <w:tcW w:w="155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第二期</w:t>
            </w:r>
          </w:p>
        </w:tc>
        <w:tc>
          <w:tcPr>
            <w:tcW w:w="340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7月1</w:t>
            </w:r>
            <w:r>
              <w:rPr>
                <w:rFonts w:ascii="仿宋_GB2312" w:hAnsi="宋体" w:eastAsia="仿宋_GB2312"/>
                <w:sz w:val="32"/>
                <w:szCs w:val="32"/>
              </w:rPr>
              <w:t>7-</w:t>
            </w:r>
            <w:r>
              <w:rPr>
                <w:rFonts w:hint="eastAsia" w:ascii="仿宋_GB2312" w:hAnsi="宋体" w:eastAsia="仿宋_GB2312"/>
                <w:sz w:val="32"/>
                <w:szCs w:val="32"/>
              </w:rPr>
              <w:t>1</w:t>
            </w:r>
            <w:r>
              <w:rPr>
                <w:rFonts w:ascii="仿宋_GB2312" w:hAnsi="宋体" w:eastAsia="仿宋_GB2312"/>
                <w:sz w:val="32"/>
                <w:szCs w:val="32"/>
              </w:rPr>
              <w:t>9</w:t>
            </w:r>
            <w:r>
              <w:rPr>
                <w:rFonts w:hint="eastAsia" w:ascii="仿宋_GB2312" w:hAnsi="宋体" w:eastAsia="仿宋_GB2312"/>
                <w:sz w:val="32"/>
                <w:szCs w:val="32"/>
              </w:rPr>
              <w:t>日</w:t>
            </w:r>
          </w:p>
        </w:tc>
        <w:tc>
          <w:tcPr>
            <w:tcW w:w="170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16日</w:t>
            </w:r>
          </w:p>
        </w:tc>
        <w:tc>
          <w:tcPr>
            <w:tcW w:w="297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上海国家会计学院</w:t>
            </w:r>
          </w:p>
        </w:tc>
      </w:tr>
      <w:tr>
        <w:trPr>
          <w:jc w:val="center"/>
        </w:trPr>
        <w:tc>
          <w:tcPr>
            <w:tcW w:w="155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第三期</w:t>
            </w:r>
          </w:p>
        </w:tc>
        <w:tc>
          <w:tcPr>
            <w:tcW w:w="340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10月20</w:t>
            </w:r>
            <w:r>
              <w:rPr>
                <w:rFonts w:ascii="仿宋_GB2312" w:hAnsi="宋体" w:eastAsia="仿宋_GB2312"/>
                <w:sz w:val="32"/>
                <w:szCs w:val="32"/>
              </w:rPr>
              <w:t>-</w:t>
            </w:r>
            <w:r>
              <w:rPr>
                <w:rFonts w:hint="eastAsia" w:ascii="仿宋_GB2312" w:hAnsi="宋体" w:eastAsia="仿宋_GB2312"/>
                <w:sz w:val="32"/>
                <w:szCs w:val="32"/>
              </w:rPr>
              <w:t>22日</w:t>
            </w:r>
          </w:p>
        </w:tc>
        <w:tc>
          <w:tcPr>
            <w:tcW w:w="170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19</w:t>
            </w:r>
            <w:r>
              <w:rPr>
                <w:rFonts w:ascii="仿宋_GB2312" w:hAnsi="宋体" w:eastAsia="仿宋_GB2312"/>
                <w:sz w:val="32"/>
                <w:szCs w:val="32"/>
              </w:rPr>
              <w:t>日</w:t>
            </w:r>
          </w:p>
        </w:tc>
        <w:tc>
          <w:tcPr>
            <w:tcW w:w="297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成都</w:t>
            </w:r>
          </w:p>
        </w:tc>
      </w:tr>
    </w:tbl>
    <w:p>
      <w:pPr>
        <w:pStyle w:val="37"/>
        <w:spacing w:line="360" w:lineRule="auto"/>
        <w:rPr>
          <w:rFonts w:hint="eastAsia" w:ascii="仿宋_GB2312" w:hAnsi="仿宋" w:eastAsia="仿宋_GB2312"/>
          <w:sz w:val="32"/>
          <w:szCs w:val="32"/>
        </w:rPr>
      </w:pPr>
      <w:r>
        <w:rPr>
          <w:rFonts w:hint="eastAsia" w:ascii="仿宋_GB2312" w:hAnsi="宋体" w:eastAsia="仿宋_GB2312" w:cs="宋体"/>
          <w:kern w:val="0"/>
          <w:sz w:val="32"/>
          <w:szCs w:val="32"/>
        </w:rPr>
        <w:t>注：线下面授 + 线上直播 同步进行，学员可自主选择参加面授或直播，凡参训学员皆提供14天录播回看。</w:t>
      </w:r>
      <w:r>
        <w:rPr>
          <w:rFonts w:hint="eastAsia" w:ascii="仿宋_GB2312" w:hAnsi="仿宋" w:eastAsia="仿宋_GB2312"/>
          <w:sz w:val="32"/>
          <w:szCs w:val="32"/>
        </w:rPr>
        <w:t>（如果线上授课因故取消，本期课程不提供录播回看。）</w:t>
      </w: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二、课程目标</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1.理解企业发展对于财务管理转型的要求；</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2.洞悉业务部门的财务需求；</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3.运用管理会计工具实现分析与预测；</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4.了解业财融合的目标、逻辑、路径、挑战与实践路径。</w:t>
      </w:r>
    </w:p>
    <w:p>
      <w:pPr>
        <w:spacing w:line="360" w:lineRule="auto"/>
        <w:rPr>
          <w:rFonts w:hint="eastAsia"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三、培训对象</w:t>
      </w:r>
    </w:p>
    <w:p>
      <w:pPr>
        <w:spacing w:line="360" w:lineRule="auto"/>
        <w:rPr>
          <w:rFonts w:hint="eastAsia" w:ascii="仿宋_GB2312" w:hAnsi="宋体" w:eastAsia="仿宋_GB2312" w:cs="Times New Roman"/>
          <w:bCs/>
          <w:color w:val="000000"/>
          <w:sz w:val="32"/>
          <w:szCs w:val="32"/>
        </w:rPr>
      </w:pPr>
      <w:r>
        <w:rPr>
          <w:rFonts w:hint="eastAsia" w:ascii="仿宋_GB2312" w:hAnsi="宋体" w:eastAsia="仿宋_GB2312" w:cs="Times New Roman"/>
          <w:bCs/>
          <w:color w:val="000000"/>
          <w:sz w:val="32"/>
          <w:szCs w:val="32"/>
        </w:rPr>
        <w:t>对财务管理转型、业财融合感兴趣的财务业务骨干。</w:t>
      </w: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四、课程内容</w:t>
      </w:r>
    </w:p>
    <w:p>
      <w:pPr>
        <w:spacing w:line="360" w:lineRule="auto"/>
        <w:ind w:left="321" w:hanging="321" w:hangingChars="1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(一)财务数字化时代的流程融合与数据融合</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1.财务数字化转型框架体系</w:t>
      </w:r>
    </w:p>
    <w:p>
      <w:pPr>
        <w:spacing w:line="360" w:lineRule="auto"/>
        <w:ind w:firstLine="320" w:firstLine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（1）财务数字化转型框架体系核心内涵</w:t>
      </w:r>
    </w:p>
    <w:p>
      <w:pPr>
        <w:spacing w:line="360" w:lineRule="auto"/>
        <w:ind w:firstLine="320" w:firstLine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（2）世界一流财务管理体系对流程与数据双驱动的要求</w:t>
      </w:r>
    </w:p>
    <w:p>
      <w:pPr>
        <w:spacing w:line="360" w:lineRule="auto"/>
        <w:ind w:firstLine="320" w:firstLine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（3）数智化转型对流程与数据融合的影响逻辑</w:t>
      </w:r>
    </w:p>
    <w:p>
      <w:pPr>
        <w:spacing w:line="360" w:lineRule="auto"/>
        <w:ind w:firstLine="320" w:firstLine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（4）数字技术推动流程与数据融合的核心思路</w:t>
      </w:r>
    </w:p>
    <w:p>
      <w:pPr>
        <w:spacing w:line="360" w:lineRule="auto"/>
        <w:ind w:left="320" w:hanging="320" w:hanging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2.流程融合与数据融合视角下财务转型策略及案例实践</w:t>
      </w:r>
    </w:p>
    <w:p>
      <w:pPr>
        <w:spacing w:line="360" w:lineRule="auto"/>
        <w:ind w:left="210" w:left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（1）财务会计转型策略</w:t>
      </w:r>
    </w:p>
    <w:p>
      <w:pPr>
        <w:spacing w:line="360" w:lineRule="auto"/>
        <w:ind w:left="210" w:left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（2）管理会计转型策略</w:t>
      </w:r>
    </w:p>
    <w:p>
      <w:pPr>
        <w:spacing w:line="360" w:lineRule="auto"/>
        <w:ind w:left="210" w:left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（3）业财融合建设策略</w:t>
      </w:r>
    </w:p>
    <w:p>
      <w:pPr>
        <w:spacing w:line="360" w:lineRule="auto"/>
        <w:ind w:left="210" w:left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（4）财务会计职能下流程与数据融合应用场景</w:t>
      </w:r>
    </w:p>
    <w:p>
      <w:pPr>
        <w:spacing w:line="360" w:lineRule="auto"/>
        <w:ind w:left="210" w:leftChars="1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（5）管理会计职能下流程与数据融合应用场</w:t>
      </w:r>
    </w:p>
    <w:p>
      <w:pPr>
        <w:widowControl/>
        <w:spacing w:before="240" w:after="240" w:line="360" w:lineRule="auto"/>
        <w:contextualSpacing/>
        <w:jc w:val="left"/>
        <w:rPr>
          <w:rFonts w:hint="eastAsia" w:ascii="仿宋_GB2312" w:eastAsia="仿宋_GB2312"/>
          <w:b/>
          <w:bCs/>
          <w:sz w:val="32"/>
          <w:szCs w:val="32"/>
        </w:rPr>
      </w:pPr>
      <w:r>
        <w:rPr>
          <w:rFonts w:hint="eastAsia" w:ascii="仿宋_GB2312" w:hAnsi="宋体" w:eastAsia="仿宋_GB2312" w:cs="宋体"/>
          <w:b/>
          <w:kern w:val="0"/>
          <w:sz w:val="32"/>
          <w:szCs w:val="32"/>
        </w:rPr>
        <w:t>（二）业财融合最佳实践</w:t>
      </w:r>
    </w:p>
    <w:p>
      <w:pPr>
        <w:spacing w:line="360" w:lineRule="auto"/>
        <w:rPr>
          <w:rFonts w:hint="eastAsia" w:ascii="仿宋_GB2312" w:eastAsia="仿宋_GB2312"/>
          <w:sz w:val="32"/>
          <w:szCs w:val="32"/>
        </w:rPr>
      </w:pPr>
      <w:r>
        <w:rPr>
          <w:rFonts w:hint="eastAsia" w:ascii="仿宋_GB2312" w:hAnsi="宋体" w:eastAsia="仿宋_GB2312" w:cs="宋体"/>
          <w:kern w:val="0"/>
          <w:sz w:val="32"/>
          <w:szCs w:val="32"/>
        </w:rPr>
        <w:t>1.</w:t>
      </w:r>
      <w:r>
        <w:rPr>
          <w:rFonts w:hint="eastAsia" w:ascii="仿宋_GB2312" w:eastAsia="仿宋_GB2312"/>
          <w:sz w:val="32"/>
          <w:szCs w:val="32"/>
        </w:rPr>
        <w:t>业财一体化的财务组织体系</w:t>
      </w:r>
    </w:p>
    <w:p>
      <w:pPr>
        <w:spacing w:line="360" w:lineRule="auto"/>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2.业财一体化模式下的信息化体系构建与优化</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3.实践案例分享</w:t>
      </w:r>
    </w:p>
    <w:p>
      <w:pPr>
        <w:spacing w:line="360" w:lineRule="auto"/>
        <w:ind w:left="321" w:hanging="321" w:hangingChars="1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（三）备选案例：华为业财融合实践</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 华为的财经变革历程</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2．华为业财融合之旅-IFS变革</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（1）变革背景及整体架构</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（2）第一阶段：交易层面业财融合</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（3）第二阶段：责任中心层面业财融合</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（4）专业领域财经变革</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3．华为业财融合的组织设计和能力要求</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（1）财经三支柱模型</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（2）财经BP的角色定位、职责和能力要求</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（3）财经BP四大职能</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4．华为经营分析与问题解决实践</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（1）问题出发问题结尾</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（2）看过去：定位问题，根因分析</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（3）看未来：目标、策略、行动计划、资源、困难和求助</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（4）专题分析：以运营资产分析为例</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（5）问题共识和任务遗留：SMART化，闭环跟踪</w:t>
      </w:r>
    </w:p>
    <w:p>
      <w:pPr>
        <w:spacing w:line="360" w:lineRule="auto"/>
        <w:rPr>
          <w:rFonts w:hint="eastAsia" w:ascii="仿宋_GB2312" w:hAnsi="宋体" w:eastAsia="仿宋_GB2312" w:cs="宋体"/>
          <w:bCs/>
          <w:kern w:val="0"/>
          <w:sz w:val="32"/>
          <w:szCs w:val="32"/>
        </w:rPr>
      </w:pPr>
      <w:r>
        <w:rPr>
          <w:rFonts w:hint="eastAsia" w:ascii="仿宋_GB2312" w:hAnsi="宋体" w:eastAsia="仿宋_GB2312" w:cs="宋体"/>
          <w:b/>
          <w:kern w:val="0"/>
          <w:sz w:val="32"/>
          <w:szCs w:val="32"/>
        </w:rPr>
        <w:t>（五）微咨询</w:t>
      </w:r>
    </w:p>
    <w:p>
      <w:pPr>
        <w:spacing w:line="360" w:lineRule="auto"/>
        <w:rPr>
          <w:rFonts w:hint="eastAsia"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sz w:val="32"/>
          <w:szCs w:val="32"/>
        </w:rPr>
        <w:t>课程开始前，每位学员提交包括背景材料在内的问题清单。材料将向全班同学共享，请做好脱敏。开课后，将安排咨询环节，学员可根据需要自行选择。（微咨询环节只限于线下学员参加）</w:t>
      </w: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五、拟邀师资</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杨老师：上海国家会计学院教授。华中科技大学博士，智能财务研究院秘书长、影响中国会计从业人员十大信息技术评选牵头人。长期从事大中型企业会计信息化、财务共享服务、财务数字化、一流财务管理体系和智能财务等领域的教学、咨询、科研及社会服务工作。</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郭老师：上海国家会计学院教授。财政部企业会计准则咨询委员会委员，财政部预算与会计研究会理事，财政部高级职称评审委员会委员，上海市成本研究会副会长，上海证券交易所授课专家。</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徐老师：永辉超市原财务总监，财务变革负责人。多家上市公司及高速成长型公司财务顾问，拥有20余年财务管理实战经验。经历了永辉超市成长、快速发展，到上市筹备、上市、日常市值管理的整个业务过程。</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雷老师：十多年华为财务及经营管理经验，预算管理五级专家。全程参与华为公司IFS项目群</w:t>
      </w:r>
      <w:r>
        <w:rPr>
          <w:rFonts w:hint="eastAsia" w:ascii="仿宋_GB2312" w:hAnsi="仿宋_GB2312" w:eastAsia="仿宋_GB2312" w:cs="仿宋_GB2312"/>
          <w:color w:val="000000" w:themeColor="text1"/>
          <w:kern w:val="0"/>
          <w:sz w:val="32"/>
          <w:szCs w:val="32"/>
          <w14:textFill>
            <w14:solidFill>
              <w14:schemeClr w14:val="tx1"/>
            </w14:solidFill>
          </w14:textFill>
        </w:rPr>
        <w:t>（2007-2016）</w:t>
      </w:r>
      <w:r>
        <w:rPr>
          <w:rFonts w:hint="eastAsia" w:ascii="仿宋_GB2312" w:hAnsi="宋体" w:eastAsia="仿宋_GB2312" w:cs="宋体"/>
          <w:kern w:val="0"/>
          <w:sz w:val="32"/>
          <w:szCs w:val="32"/>
        </w:rPr>
        <w:t>，主导报告与分析项目方案的落地与实施、全面预算管理项目的推进和落地，参与华为财经数据中台的建设。</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以及其他资深专家。</w:t>
      </w:r>
    </w:p>
    <w:p>
      <w:pPr>
        <w:pStyle w:val="37"/>
        <w:spacing w:line="360" w:lineRule="auto"/>
        <w:rPr>
          <w:rFonts w:hint="eastAsia" w:ascii="仿宋_GB2312" w:hAnsi="仿宋" w:eastAsia="仿宋_GB2312"/>
          <w:b/>
          <w:sz w:val="32"/>
          <w:szCs w:val="32"/>
        </w:rPr>
      </w:pPr>
      <w:r>
        <w:rPr>
          <w:rFonts w:hint="eastAsia" w:ascii="仿宋_GB2312" w:hAnsi="仿宋" w:eastAsia="仿宋_GB2312"/>
          <w:b/>
          <w:sz w:val="32"/>
          <w:szCs w:val="32"/>
        </w:rPr>
        <w:t>六、学员评价</w:t>
      </w:r>
    </w:p>
    <w:p>
      <w:pPr>
        <w:rPr>
          <w:rFonts w:hint="eastAsia" w:ascii="仿宋_GB2312" w:hAnsi="仿宋_GB2312" w:eastAsia="仿宋_GB2312"/>
          <w:sz w:val="32"/>
          <w:szCs w:val="32"/>
        </w:rPr>
      </w:pPr>
      <w:r>
        <w:rPr>
          <w:rFonts w:hint="eastAsia" w:ascii="仿宋_GB2312" w:hAnsi="仿宋_GB2312" w:eastAsia="仿宋_GB2312"/>
          <w:sz w:val="32"/>
          <w:szCs w:val="32"/>
        </w:rPr>
        <w:t>内容很有价值，贴近实务，听到了很多有借鉴性的思路。</w:t>
      </w:r>
    </w:p>
    <w:p>
      <w:pPr>
        <w:pStyle w:val="37"/>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——刘同学 某铁矿有限责任公司总会计师</w:t>
      </w:r>
    </w:p>
    <w:p>
      <w:pPr>
        <w:rPr>
          <w:rFonts w:hint="eastAsia" w:ascii="仿宋_GB2312" w:hAnsi="仿宋_GB2312" w:eastAsia="仿宋_GB2312"/>
          <w:sz w:val="32"/>
          <w:szCs w:val="32"/>
        </w:rPr>
      </w:pPr>
      <w:r>
        <w:rPr>
          <w:rFonts w:hint="eastAsia" w:ascii="仿宋_GB2312" w:hAnsi="仿宋_GB2312" w:eastAsia="仿宋_GB2312"/>
          <w:sz w:val="32"/>
          <w:szCs w:val="32"/>
        </w:rPr>
        <w:t>学习了业财融合的落地方式，以及不同类型企业业财一体化经验。</w:t>
      </w:r>
    </w:p>
    <w:p>
      <w:pPr>
        <w:pStyle w:val="37"/>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——刘同学 上海某软件科技有限公司高级财务经理</w:t>
      </w: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七、收费标准</w:t>
      </w:r>
    </w:p>
    <w:p>
      <w:pPr>
        <w:spacing w:line="360" w:lineRule="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1.培训费：线上课程4800元/人，线下课程6800元/人；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2.食宿统一安排，费用自理，具体标准以开课通知为准。</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pPr>
        <w:widowControl/>
        <w:spacing w:line="360" w:lineRule="auto"/>
        <w:jc w:val="left"/>
        <w:rPr>
          <w:rFonts w:hint="eastAsia" w:ascii="仿宋_GB2312" w:hAnsi="宋体" w:eastAsia="仿宋_GB2312"/>
          <w:b/>
          <w:color w:val="000000"/>
          <w:sz w:val="32"/>
          <w:szCs w:val="32"/>
        </w:rPr>
      </w:pPr>
      <w:r>
        <w:rPr>
          <w:rFonts w:hint="eastAsia" w:ascii="仿宋_GB2312" w:hAnsi="宋体" w:eastAsia="仿宋_GB2312"/>
          <w:b/>
          <w:color w:val="000000"/>
          <w:sz w:val="32"/>
          <w:szCs w:val="32"/>
        </w:rPr>
        <w:t>八、结业证书</w:t>
      </w:r>
    </w:p>
    <w:p>
      <w:pPr>
        <w:spacing w:line="360" w:lineRule="auto"/>
        <w:rPr>
          <w:rFonts w:hint="eastAsia" w:ascii="仿宋_GB2312" w:hAnsi="宋体" w:eastAsia="仿宋_GB2312"/>
          <w:sz w:val="32"/>
          <w:szCs w:val="32"/>
        </w:rPr>
      </w:pPr>
      <w:r>
        <w:rPr>
          <w:rFonts w:ascii="仿宋_GB2312" w:hAnsi="宋体" w:eastAsia="仿宋_GB2312"/>
          <w:sz w:val="32"/>
          <w:szCs w:val="32"/>
        </w:rPr>
        <w:t>培训班结束后由学院颁发结业证书，并注明学时。继续教育学时认定事宜，烦请学员咨询当地主管部门。</w:t>
      </w:r>
    </w:p>
    <w:p>
      <w:pPr>
        <w:widowControl/>
        <w:spacing w:line="360" w:lineRule="auto"/>
        <w:ind w:left="321" w:hanging="321" w:hangingChars="100"/>
        <w:jc w:val="lef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九、报名咨询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请参加人员填写《报名表》（附后），我们将在开课前一周向报名学员发送《开课通知》。</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联系人：黄老师18610843353（同微信）</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邮箱：284828890@qq.com</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课程咨询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联系人：马</w:t>
      </w:r>
      <w:r>
        <w:rPr>
          <w:rFonts w:hint="eastAsia" w:ascii="仿宋_GB2312" w:hAnsi="宋体" w:eastAsia="仿宋_GB2312"/>
          <w:sz w:val="32"/>
          <w:szCs w:val="32"/>
          <w:lang w:val="en-US" w:eastAsia="zh-Hans"/>
        </w:rPr>
        <w:t>老师</w:t>
      </w:r>
      <w:bookmarkStart w:id="0" w:name="_GoBack"/>
      <w:bookmarkEnd w:id="0"/>
      <w:r>
        <w:rPr>
          <w:rFonts w:hint="eastAsia" w:ascii="仿宋_GB2312" w:hAnsi="宋体" w:eastAsia="仿宋_GB2312"/>
          <w:sz w:val="32"/>
          <w:szCs w:val="32"/>
        </w:rPr>
        <w:t xml:space="preserve">021-39768388 </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邮箱：maxiaochu@snai.edu</w:t>
      </w:r>
    </w:p>
    <w:p>
      <w:pPr>
        <w:spacing w:line="440" w:lineRule="exact"/>
        <w:rPr>
          <w:rFonts w:hint="eastAsia" w:ascii="宋体" w:hAnsi="宋体" w:eastAsia="宋体"/>
          <w:sz w:val="28"/>
          <w:szCs w:val="28"/>
        </w:rPr>
      </w:pPr>
    </w:p>
    <w:p>
      <w:pPr>
        <w:widowControl/>
        <w:tabs>
          <w:tab w:val="center" w:pos="4766"/>
          <w:tab w:val="left" w:pos="6716"/>
        </w:tabs>
        <w:spacing w:line="480" w:lineRule="exact"/>
        <w:rPr>
          <w:rFonts w:hint="eastAsia" w:ascii="黑体" w:hAnsi="黑体" w:eastAsia="黑体"/>
          <w:b/>
          <w:bCs/>
          <w:color w:val="000000"/>
          <w:sz w:val="32"/>
          <w:szCs w:val="32"/>
        </w:rPr>
      </w:pPr>
      <w:r>
        <w:rPr>
          <w:rFonts w:hint="eastAsia" w:ascii="黑体" w:hAnsi="黑体" w:eastAsia="黑体"/>
          <w:b/>
          <w:bCs/>
          <w:color w:val="000000"/>
          <w:sz w:val="32"/>
          <w:szCs w:val="32"/>
        </w:rPr>
        <w:t>附件二：</w:t>
      </w:r>
    </w:p>
    <w:p>
      <w:pPr>
        <w:widowControl/>
        <w:tabs>
          <w:tab w:val="center" w:pos="4766"/>
          <w:tab w:val="left" w:pos="6716"/>
        </w:tabs>
        <w:spacing w:line="480" w:lineRule="exact"/>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上海国家会计学院</w:t>
      </w:r>
    </w:p>
    <w:p>
      <w:pPr>
        <w:widowControl/>
        <w:tabs>
          <w:tab w:val="center" w:pos="4766"/>
          <w:tab w:val="left" w:pos="6716"/>
        </w:tabs>
        <w:spacing w:line="480" w:lineRule="exact"/>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“微咨询课程：业财融合实务与案例”</w:t>
      </w:r>
    </w:p>
    <w:p>
      <w:pPr>
        <w:widowControl/>
        <w:tabs>
          <w:tab w:val="center" w:pos="4766"/>
          <w:tab w:val="left" w:pos="6716"/>
        </w:tabs>
        <w:spacing w:line="480" w:lineRule="exact"/>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（线上+线下）研修班报名表</w:t>
      </w:r>
    </w:p>
    <w:p>
      <w:pPr>
        <w:widowControl/>
        <w:tabs>
          <w:tab w:val="center" w:pos="4766"/>
          <w:tab w:val="left" w:pos="6716"/>
        </w:tabs>
        <w:spacing w:line="440" w:lineRule="exact"/>
        <w:jc w:val="center"/>
        <w:rPr>
          <w:rFonts w:hint="eastAsia" w:ascii="宋体" w:hAnsi="宋体" w:cs="微软雅黑"/>
          <w:b/>
          <w:bCs/>
          <w:color w:val="000000"/>
          <w:sz w:val="36"/>
          <w:szCs w:val="36"/>
        </w:rPr>
      </w:pPr>
    </w:p>
    <w:tbl>
      <w:tblPr>
        <w:tblStyle w:val="15"/>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 xml:space="preserve">黄老师：18610843353（同微信）  邮箱：284828890@qq.com  </w:t>
            </w:r>
          </w:p>
        </w:tc>
      </w:tr>
    </w:tbl>
    <w:p>
      <w:pPr>
        <w:rPr>
          <w:rFonts w:hint="eastAsia"/>
        </w:rPr>
      </w:pPr>
    </w:p>
    <w:p>
      <w:pPr>
        <w:widowControl/>
        <w:tabs>
          <w:tab w:val="center" w:pos="4766"/>
          <w:tab w:val="left" w:pos="6716"/>
        </w:tabs>
        <w:spacing w:line="480" w:lineRule="exact"/>
        <w:jc w:val="center"/>
        <w:rPr>
          <w:rFonts w:hint="eastAsia" w:ascii="仿宋_GB2312" w:hAnsi="宋体" w:eastAsia="仿宋_GB2312" w:cs="宋体"/>
          <w:kern w:val="0"/>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C4"/>
    <w:rsid w:val="000C55B3"/>
    <w:rsid w:val="00181689"/>
    <w:rsid w:val="00206EBD"/>
    <w:rsid w:val="003E1122"/>
    <w:rsid w:val="003E5214"/>
    <w:rsid w:val="00430D51"/>
    <w:rsid w:val="00637159"/>
    <w:rsid w:val="00644DD5"/>
    <w:rsid w:val="006B3998"/>
    <w:rsid w:val="0076111D"/>
    <w:rsid w:val="007A1C06"/>
    <w:rsid w:val="00921A85"/>
    <w:rsid w:val="00981110"/>
    <w:rsid w:val="00B803C4"/>
    <w:rsid w:val="00C17A27"/>
    <w:rsid w:val="00EE28D9"/>
    <w:rsid w:val="6B74EEE2"/>
    <w:rsid w:val="7D7DB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17"/>
    <w:qFormat/>
    <w:uiPriority w:val="9"/>
    <w:pPr>
      <w:keepNext/>
      <w:keepLines/>
      <w:widowControl/>
      <w:spacing w:before="480" w:after="80"/>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widowControl/>
      <w:spacing w:before="160" w:after="80"/>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widowControl/>
      <w:spacing w:before="160" w:after="80"/>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widowControl/>
      <w:spacing w:before="80" w:after="40"/>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widowControl/>
      <w:spacing w:before="80" w:after="40"/>
      <w:jc w:val="left"/>
      <w:outlineLvl w:val="4"/>
    </w:pPr>
    <w:rPr>
      <w:rFonts w:cstheme="majorBidi"/>
      <w:color w:val="104862" w:themeColor="accent1" w:themeShade="BF"/>
      <w:sz w:val="24"/>
      <w:szCs w:val="24"/>
      <w14:ligatures w14:val="standardContextual"/>
    </w:rPr>
  </w:style>
  <w:style w:type="paragraph" w:styleId="7">
    <w:name w:val="heading 6"/>
    <w:basedOn w:val="1"/>
    <w:next w:val="1"/>
    <w:link w:val="22"/>
    <w:semiHidden/>
    <w:unhideWhenUsed/>
    <w:qFormat/>
    <w:uiPriority w:val="9"/>
    <w:pPr>
      <w:keepNext/>
      <w:keepLines/>
      <w:widowControl/>
      <w:spacing w:before="40"/>
      <w:jc w:val="left"/>
      <w:outlineLvl w:val="5"/>
    </w:pPr>
    <w:rPr>
      <w:rFonts w:cstheme="majorBidi"/>
      <w:b/>
      <w:bCs/>
      <w:color w:val="104862" w:themeColor="accent1" w:themeShade="BF"/>
      <w:sz w:val="22"/>
      <w:szCs w:val="24"/>
      <w14:ligatures w14:val="standardContextual"/>
    </w:rPr>
  </w:style>
  <w:style w:type="paragraph" w:styleId="8">
    <w:name w:val="heading 7"/>
    <w:basedOn w:val="1"/>
    <w:next w:val="1"/>
    <w:link w:val="23"/>
    <w:semiHidden/>
    <w:unhideWhenUsed/>
    <w:qFormat/>
    <w:uiPriority w:val="9"/>
    <w:pPr>
      <w:keepNext/>
      <w:keepLines/>
      <w:widowControl/>
      <w:spacing w:before="40"/>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widowControl/>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widowControl/>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widowControl/>
      <w:tabs>
        <w:tab w:val="center" w:pos="4153"/>
        <w:tab w:val="right" w:pos="8306"/>
      </w:tabs>
      <w:snapToGrid w:val="0"/>
      <w:spacing w:before="240" w:after="240"/>
      <w:jc w:val="left"/>
    </w:pPr>
    <w:rPr>
      <w:sz w:val="18"/>
      <w:szCs w:val="18"/>
      <w14:ligatures w14:val="standardContextual"/>
    </w:rPr>
  </w:style>
  <w:style w:type="paragraph" w:styleId="12">
    <w:name w:val="header"/>
    <w:basedOn w:val="1"/>
    <w:link w:val="35"/>
    <w:unhideWhenUsed/>
    <w:uiPriority w:val="99"/>
    <w:pPr>
      <w:widowControl/>
      <w:tabs>
        <w:tab w:val="center" w:pos="4153"/>
        <w:tab w:val="right" w:pos="8306"/>
      </w:tabs>
      <w:snapToGrid w:val="0"/>
      <w:spacing w:before="240" w:after="240"/>
      <w:jc w:val="center"/>
    </w:pPr>
    <w:rPr>
      <w:sz w:val="18"/>
      <w:szCs w:val="18"/>
      <w14:ligatures w14:val="standardContextual"/>
    </w:rPr>
  </w:style>
  <w:style w:type="paragraph" w:styleId="13">
    <w:name w:val="Subtitle"/>
    <w:basedOn w:val="1"/>
    <w:next w:val="1"/>
    <w:link w:val="27"/>
    <w:qFormat/>
    <w:uiPriority w:val="11"/>
    <w:pPr>
      <w:widowControl/>
      <w:spacing w:before="240"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widowControl/>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widowControl/>
      <w:spacing w:before="160" w:after="160"/>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widowControl/>
      <w:spacing w:before="240" w:after="240"/>
      <w:ind w:left="720"/>
      <w:contextualSpacing/>
      <w:jc w:val="left"/>
    </w:pPr>
    <w:rPr>
      <w:sz w:val="22"/>
      <w:szCs w:val="24"/>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widowControl/>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 w:val="22"/>
      <w:szCs w:val="24"/>
      <w14:ligatures w14:val="standardContextual"/>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paragraph" w:styleId="37">
    <w:name w:val="No Spacing"/>
    <w:qFormat/>
    <w:uiPriority w:val="1"/>
    <w:pPr>
      <w:widowControl w:val="0"/>
      <w:spacing w:before="0" w:after="0"/>
      <w:jc w:val="both"/>
    </w:pPr>
    <w:rPr>
      <w:rFonts w:ascii="Calibri" w:hAnsi="Calibri" w:eastAsia="宋体" w:cs="Times New Roman"/>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Words>
  <Characters>2280</Characters>
  <Lines>19</Lines>
  <Paragraphs>5</Paragraphs>
  <TotalTime>4</TotalTime>
  <ScaleCrop>false</ScaleCrop>
  <LinksUpToDate>false</LinksUpToDate>
  <CharactersWithSpaces>2674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2024-12-04T17:00:00Z</dcterms:created>
  <dc:creator>曹巧波</dc:creator>
  <cp:lastModifiedBy>Daydream</cp:lastModifiedBy>
  <dcterms:modified xsi:type="dcterms:W3CDTF">2025-05-07T13:26:13Z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AC2E8593CC722E7E10E91A68BB7BE917_42</vt:lpwstr>
  </property>
</Properties>
</file>