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ascii="宋体" w:hAnsi="宋体" w:eastAsia="宋体" w:cs="微软雅黑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42"/>
          <w:szCs w:val="4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 xml:space="preserve">  上国会培〔</w:t>
      </w:r>
      <w:r>
        <w:rPr>
          <w:rFonts w:ascii="宋体" w:hAnsi="宋体" w:eastAsia="宋体" w:cs="微软雅黑"/>
          <w:bCs/>
          <w:sz w:val="32"/>
          <w:szCs w:val="32"/>
        </w:rPr>
        <w:t>202</w:t>
      </w:r>
      <w:r>
        <w:rPr>
          <w:rFonts w:hint="eastAsia" w:ascii="宋体" w:hAnsi="宋体" w:eastAsia="宋体" w:cs="微软雅黑"/>
          <w:bCs/>
          <w:sz w:val="32"/>
          <w:szCs w:val="32"/>
        </w:rPr>
        <w:t>5〕</w:t>
      </w:r>
      <w:r>
        <w:rPr>
          <w:rFonts w:ascii="宋体" w:hAnsi="宋体" w:eastAsia="宋体" w:cs="微软雅黑"/>
          <w:bCs/>
          <w:sz w:val="32"/>
          <w:szCs w:val="32"/>
        </w:rPr>
        <w:t>3</w:t>
      </w:r>
      <w:r>
        <w:rPr>
          <w:rFonts w:hint="eastAsia" w:ascii="宋体" w:hAnsi="宋体" w:eastAsia="宋体" w:cs="微软雅黑"/>
          <w:bCs/>
          <w:sz w:val="32"/>
          <w:szCs w:val="32"/>
        </w:rPr>
        <w:t>8号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hhJQAtUAAAAJAQAADwAAAAAAAAABACAAAAA4AAAAZHJzL2Rvd25yZXYueG1sUEsBAhQAFAAAAAgA&#10;h07iQFCablLZAQAAhwMAAA4AAAAAAAAAAQAgAAAAOg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</w:t>
      </w:r>
      <w:bookmarkStart w:id="0" w:name="_Hlk194414776"/>
      <w:r>
        <w:rPr>
          <w:rFonts w:ascii="宋体" w:hAnsi="宋体" w:eastAsia="宋体" w:cs="Times New Roman"/>
          <w:b/>
          <w:sz w:val="36"/>
          <w:szCs w:val="36"/>
        </w:rPr>
        <w:t>新会计法解读</w:t>
      </w:r>
      <w:r>
        <w:rPr>
          <w:rFonts w:hint="eastAsia" w:ascii="宋体" w:hAnsi="宋体" w:eastAsia="宋体" w:cs="Times New Roman"/>
          <w:b/>
          <w:sz w:val="36"/>
          <w:szCs w:val="36"/>
        </w:rPr>
        <w:t>、</w:t>
      </w:r>
      <w:r>
        <w:rPr>
          <w:rFonts w:ascii="宋体" w:hAnsi="宋体" w:eastAsia="宋体" w:cs="Times New Roman"/>
          <w:b/>
          <w:sz w:val="36"/>
          <w:szCs w:val="36"/>
        </w:rPr>
        <w:t>税务稽查和AI赋能财务数</w:t>
      </w:r>
      <w:r>
        <w:rPr>
          <w:rFonts w:hint="eastAsia" w:ascii="宋体" w:hAnsi="宋体" w:eastAsia="宋体" w:cs="Times New Roman"/>
          <w:b/>
          <w:sz w:val="36"/>
          <w:szCs w:val="36"/>
        </w:rPr>
        <w:t>智</w:t>
      </w:r>
      <w:r>
        <w:rPr>
          <w:rFonts w:ascii="宋体" w:hAnsi="宋体" w:eastAsia="宋体" w:cs="Times New Roman"/>
          <w:b/>
          <w:sz w:val="36"/>
          <w:szCs w:val="36"/>
        </w:rPr>
        <w:t>化转型</w:t>
      </w:r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”培训班的通知</w:t>
      </w:r>
    </w:p>
    <w:p>
      <w:pPr>
        <w:rPr>
          <w:rFonts w:hint="eastAsia"/>
          <w:b/>
          <w:sz w:val="28"/>
          <w:szCs w:val="28"/>
        </w:rPr>
      </w:pPr>
    </w:p>
    <w:p>
      <w:pPr>
        <w:pStyle w:val="1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落实新会计法，防范税务风险，提升财务人员的AI应用能力，上海国家会计学院推出了“新会计法解读、税务稽查和AI赋能财务数值化转型”专题培训班。此次培训特别针对新会计法的实施要求，结合税务稽查要点，财务数智化转型趋势，设置全新课程内容，旨在帮助企业财务人员准确</w:t>
      </w:r>
      <w:r>
        <w:rPr>
          <w:rFonts w:ascii="仿宋_GB2312" w:hAnsi="仿宋" w:eastAsia="仿宋_GB2312"/>
          <w:sz w:val="32"/>
          <w:szCs w:val="32"/>
        </w:rPr>
        <w:t>掌握新会计法的最新要求和应对策略，提升税务风险防范能力，增强财务分析的专业性和洞察力，同时深入了解AI技术在财务管理中的广泛应用场景和实践案例，为企业财务管理的数</w:t>
      </w:r>
      <w:r>
        <w:rPr>
          <w:rFonts w:hint="eastAsia" w:ascii="仿宋_GB2312" w:hAnsi="仿宋" w:eastAsia="仿宋_GB2312"/>
          <w:sz w:val="32"/>
          <w:szCs w:val="32"/>
        </w:rPr>
        <w:t>智</w:t>
      </w:r>
      <w:r>
        <w:rPr>
          <w:rFonts w:ascii="仿宋_GB2312" w:hAnsi="仿宋" w:eastAsia="仿宋_GB2312"/>
          <w:sz w:val="32"/>
          <w:szCs w:val="32"/>
        </w:rPr>
        <w:t>化转型赋能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1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附件：一、课程简介</w:t>
      </w:r>
    </w:p>
    <w:p>
      <w:pPr>
        <w:pStyle w:val="12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教务二部</w:t>
      </w:r>
    </w:p>
    <w:p>
      <w:pPr>
        <w:spacing w:line="360" w:lineRule="auto"/>
        <w:ind w:firstLine="6400" w:firstLineChars="20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2025年4月</w:t>
      </w:r>
    </w:p>
    <w:p>
      <w:pPr>
        <w:pStyle w:val="12"/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一、培训安排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862"/>
        <w:gridCol w:w="2816"/>
      </w:tblGrid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6月19日-22日</w:t>
            </w:r>
          </w:p>
        </w:tc>
        <w:tc>
          <w:tcPr>
            <w:tcW w:w="186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6月18日</w:t>
            </w:r>
          </w:p>
        </w:tc>
        <w:tc>
          <w:tcPr>
            <w:tcW w:w="281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二、培训对象</w:t>
      </w:r>
    </w:p>
    <w:p>
      <w:pPr>
        <w:spacing w:line="360" w:lineRule="auto"/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  <w:t>企业总会计师、财务总监、财务主管及骨干财务人员。</w:t>
      </w:r>
    </w:p>
    <w:p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三、课程收益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明确新会计法下企业及财务人员的合规要求与应对策略，防范财务风险。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掌握税务稽查的关键流程、方法及风险指标，增强税务合规意识。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深入分析典型案例，掌握税务风险防范与管理的实践方法，优化税务管理效能。</w:t>
      </w: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学习AI驱动下财务转型的实践案例，掌握DeepSeek等工具在财务领域的具体应用。</w:t>
      </w:r>
    </w:p>
    <w:p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>
      <w:pPr>
        <w:spacing w:line="540" w:lineRule="exact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第一模块：新会计法解读与企业应对-0.5天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1.新会计法的修正背景及目的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2.新会计法修订的总体框架及变化 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3.关于进一步完善会计制度，适应会计信息化的要求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4.关于强化会计监督的要求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5.关于加大财务造假法律责任追究力度的要求</w:t>
      </w:r>
    </w:p>
    <w:p>
      <w:pPr>
        <w:spacing w:line="540" w:lineRule="exact"/>
        <w:ind w:left="320" w:hanging="320" w:hangingChars="10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6.新会计法下企业及财务人员的应对措施</w:t>
      </w:r>
    </w:p>
    <w:p>
      <w:pPr>
        <w:spacing w:line="360" w:lineRule="auto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第二模块: 企业税务稽查与风险应对-2天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实例剖析：税务约谈、纳税评估和税务稽查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税务稽查的流程和方法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税务风险的概念和类型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税法政策解读及案例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风险指标解读及案例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税务稽查现场应对技巧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税务纠纷的解决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税务合规管理重点及运行机制</w:t>
      </w:r>
    </w:p>
    <w:p>
      <w:pPr>
        <w:spacing w:line="360" w:lineRule="auto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第三模块: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财务分析与公司价值创造-0.5天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1.企业价值创造框架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2.业务和财务的关系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3.从战略高度和业务视角分析企业财务报表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4.分析和评价公司的财务风险</w:t>
      </w:r>
    </w:p>
    <w:p>
      <w:pPr>
        <w:spacing w:line="360" w:lineRule="auto"/>
        <w:rPr>
          <w:rFonts w:hint="eastAsia"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5.综合案例</w:t>
      </w:r>
    </w:p>
    <w:p>
      <w:pPr>
        <w:spacing w:line="360" w:lineRule="auto"/>
        <w:ind w:left="321" w:hanging="321" w:hanging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第四模块:人工智能（AI）驱动下财务转型策略、应用与DeepSeek实践-1天</w:t>
      </w:r>
    </w:p>
    <w:p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ascii="仿宋_GB2312" w:hAnsi="仿宋" w:eastAsia="仿宋_GB2312" w:cs="宋体"/>
          <w:bCs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数字化背景下人工智能驱动财务转型策略</w:t>
      </w:r>
      <w:r>
        <w:rPr>
          <w:rFonts w:ascii="仿宋_GB2312" w:hAnsi="仿宋" w:eastAsia="仿宋_GB2312" w:cs="宋体"/>
          <w:bCs/>
          <w:kern w:val="0"/>
          <w:sz w:val="32"/>
          <w:szCs w:val="32"/>
        </w:rPr>
        <w:cr/>
      </w:r>
      <w:r>
        <w:rPr>
          <w:rFonts w:ascii="仿宋_GB2312" w:hAnsi="仿宋" w:eastAsia="仿宋_GB2312" w:cs="宋体"/>
          <w:bCs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人工智能驱动下的财务应用场景</w:t>
      </w:r>
    </w:p>
    <w:p>
      <w:pPr>
        <w:spacing w:line="360" w:lineRule="auto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ascii="仿宋_GB2312" w:hAnsi="仿宋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DeepSeek赋能财务应用实践 </w:t>
      </w:r>
    </w:p>
    <w:p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杨老师：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上海国家会计学院教授，华中科技大学博士。曾为TCL、云南烟草、中国交建、南京水务等企业提供咨询服务。</w:t>
      </w:r>
    </w:p>
    <w:p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唐老师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：中南财经政法大学会计学院教授（二级）、博士生导师，现任中南财经政法大学环境资源会计研究中心主任。</w:t>
      </w:r>
    </w:p>
    <w:p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财政部跨世纪学科（会计学）学术带头人，财政部“会计名家培养工程”入选者，教育部“优秀青年教师资助计划”入选者，兼任财政部《中华人民共和国会计法》修订研究课题组组长，财政部第一届企业会计准则咨询委员会委员。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谭老师：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国家税务总局五星税务培训师、全国税务系统总局级师资、总局稽查人才库成员，总局特约通讯员。</w:t>
      </w:r>
    </w:p>
    <w:p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王老师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：上海财经大学副教授。</w:t>
      </w:r>
    </w:p>
    <w:p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以及其他资深实务专家。</w:t>
      </w:r>
    </w:p>
    <w:p>
      <w:pPr>
        <w:spacing w:line="360" w:lineRule="auto"/>
        <w:ind w:left="321" w:hanging="321" w:hanging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六、收费标准</w:t>
      </w:r>
    </w:p>
    <w:p>
      <w:pPr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1.培训费：6800元/人。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2.食宿统一安排，费用自理，具体费用标准以开课通知为准。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七、结业证书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八、报名咨询</w:t>
      </w:r>
    </w:p>
    <w:p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instrText xml:space="preserve"> HYPERLINK "mailto:284828890@qq.com" </w:instrTex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284828890@qq.com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 xml:space="preserve">曹老师021-39768217 </w:t>
      </w:r>
    </w:p>
    <w:p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邮箱：caoning@snai.edu</w:t>
      </w:r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  <w:bookmarkStart w:id="1" w:name="_GoBack"/>
      <w:bookmarkEnd w:id="1"/>
    </w:p>
    <w:p>
      <w:pPr>
        <w:widowControl/>
        <w:spacing w:line="360" w:lineRule="auto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“新会计法解读、税务稽查和AI赋能财务数智化转型”培训班报名回执表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</w:t>
            </w:r>
          </w:p>
        </w:tc>
      </w:tr>
    </w:tbl>
    <w:p>
      <w:pPr>
        <w:rPr>
          <w:rFonts w:hint="eastAsia"/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87677"/>
    <w:multiLevelType w:val="multilevel"/>
    <w:tmpl w:val="28A876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810527C"/>
    <w:multiLevelType w:val="multilevel"/>
    <w:tmpl w:val="7810527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3"/>
    <w:rsid w:val="00013A7F"/>
    <w:rsid w:val="00022F9B"/>
    <w:rsid w:val="00034845"/>
    <w:rsid w:val="000409CF"/>
    <w:rsid w:val="00041C2C"/>
    <w:rsid w:val="00051AF9"/>
    <w:rsid w:val="00056DE8"/>
    <w:rsid w:val="00062ACA"/>
    <w:rsid w:val="00066D3F"/>
    <w:rsid w:val="00067A7E"/>
    <w:rsid w:val="00081FEF"/>
    <w:rsid w:val="000915B2"/>
    <w:rsid w:val="000920EA"/>
    <w:rsid w:val="000A3166"/>
    <w:rsid w:val="000A457B"/>
    <w:rsid w:val="000C7999"/>
    <w:rsid w:val="000D23A6"/>
    <w:rsid w:val="000F00F2"/>
    <w:rsid w:val="00122792"/>
    <w:rsid w:val="00135D5A"/>
    <w:rsid w:val="001444B5"/>
    <w:rsid w:val="00192694"/>
    <w:rsid w:val="001A29DB"/>
    <w:rsid w:val="001A3297"/>
    <w:rsid w:val="001A77D4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0121"/>
    <w:rsid w:val="002D2C41"/>
    <w:rsid w:val="00300F17"/>
    <w:rsid w:val="0030581B"/>
    <w:rsid w:val="0031738B"/>
    <w:rsid w:val="0031764E"/>
    <w:rsid w:val="00352DEC"/>
    <w:rsid w:val="00355D43"/>
    <w:rsid w:val="003774E1"/>
    <w:rsid w:val="00394036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34790"/>
    <w:rsid w:val="0045107F"/>
    <w:rsid w:val="00461D24"/>
    <w:rsid w:val="004771E2"/>
    <w:rsid w:val="004947B0"/>
    <w:rsid w:val="004A281F"/>
    <w:rsid w:val="004B0BBE"/>
    <w:rsid w:val="004B41CC"/>
    <w:rsid w:val="004C2BA4"/>
    <w:rsid w:val="004D2E98"/>
    <w:rsid w:val="004E42E4"/>
    <w:rsid w:val="004F1993"/>
    <w:rsid w:val="004F1C84"/>
    <w:rsid w:val="004F43E0"/>
    <w:rsid w:val="005053B9"/>
    <w:rsid w:val="00510A31"/>
    <w:rsid w:val="00522719"/>
    <w:rsid w:val="00540EA2"/>
    <w:rsid w:val="0054240F"/>
    <w:rsid w:val="0054796A"/>
    <w:rsid w:val="005675AB"/>
    <w:rsid w:val="005910AA"/>
    <w:rsid w:val="0059117E"/>
    <w:rsid w:val="005957E0"/>
    <w:rsid w:val="005B1943"/>
    <w:rsid w:val="005B691D"/>
    <w:rsid w:val="005C5FAA"/>
    <w:rsid w:val="005D4A6F"/>
    <w:rsid w:val="005E2260"/>
    <w:rsid w:val="005F1208"/>
    <w:rsid w:val="005F2A39"/>
    <w:rsid w:val="005F4838"/>
    <w:rsid w:val="006106FF"/>
    <w:rsid w:val="00621202"/>
    <w:rsid w:val="006238DE"/>
    <w:rsid w:val="00623E35"/>
    <w:rsid w:val="00630D67"/>
    <w:rsid w:val="006541E4"/>
    <w:rsid w:val="00672FB6"/>
    <w:rsid w:val="0067620C"/>
    <w:rsid w:val="00684EAE"/>
    <w:rsid w:val="00697B2D"/>
    <w:rsid w:val="006A0B3B"/>
    <w:rsid w:val="006A184E"/>
    <w:rsid w:val="006B72DE"/>
    <w:rsid w:val="006C10CD"/>
    <w:rsid w:val="006D0EE8"/>
    <w:rsid w:val="00715FFF"/>
    <w:rsid w:val="00722016"/>
    <w:rsid w:val="00724287"/>
    <w:rsid w:val="0073611D"/>
    <w:rsid w:val="00736FE4"/>
    <w:rsid w:val="00737D35"/>
    <w:rsid w:val="00746859"/>
    <w:rsid w:val="007629CF"/>
    <w:rsid w:val="0076634A"/>
    <w:rsid w:val="00775D5E"/>
    <w:rsid w:val="00794C26"/>
    <w:rsid w:val="007A5763"/>
    <w:rsid w:val="007B2045"/>
    <w:rsid w:val="007E17A8"/>
    <w:rsid w:val="008024BF"/>
    <w:rsid w:val="00810AB6"/>
    <w:rsid w:val="008129C5"/>
    <w:rsid w:val="00822FE5"/>
    <w:rsid w:val="00827CF1"/>
    <w:rsid w:val="00833466"/>
    <w:rsid w:val="00840660"/>
    <w:rsid w:val="0085745E"/>
    <w:rsid w:val="00880139"/>
    <w:rsid w:val="008808D5"/>
    <w:rsid w:val="00890F1B"/>
    <w:rsid w:val="008A298E"/>
    <w:rsid w:val="008A59A0"/>
    <w:rsid w:val="008B3215"/>
    <w:rsid w:val="008D1E59"/>
    <w:rsid w:val="008D5D3D"/>
    <w:rsid w:val="008E3BC6"/>
    <w:rsid w:val="008F18BE"/>
    <w:rsid w:val="009032A4"/>
    <w:rsid w:val="009322DB"/>
    <w:rsid w:val="00951E9A"/>
    <w:rsid w:val="00954CFD"/>
    <w:rsid w:val="00962F4F"/>
    <w:rsid w:val="00973B85"/>
    <w:rsid w:val="0098114C"/>
    <w:rsid w:val="009959DF"/>
    <w:rsid w:val="009A29E0"/>
    <w:rsid w:val="009A7BC0"/>
    <w:rsid w:val="009C24DD"/>
    <w:rsid w:val="009D2F9D"/>
    <w:rsid w:val="00A0599E"/>
    <w:rsid w:val="00A2166F"/>
    <w:rsid w:val="00A3224A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F76"/>
    <w:rsid w:val="00AB67E8"/>
    <w:rsid w:val="00AB6F01"/>
    <w:rsid w:val="00AC02B5"/>
    <w:rsid w:val="00AC08B6"/>
    <w:rsid w:val="00AC0C8E"/>
    <w:rsid w:val="00AD1498"/>
    <w:rsid w:val="00AE2305"/>
    <w:rsid w:val="00B01877"/>
    <w:rsid w:val="00B074EA"/>
    <w:rsid w:val="00B1361A"/>
    <w:rsid w:val="00B14B95"/>
    <w:rsid w:val="00B400AA"/>
    <w:rsid w:val="00B40ADD"/>
    <w:rsid w:val="00B41E1B"/>
    <w:rsid w:val="00B46965"/>
    <w:rsid w:val="00B53CE1"/>
    <w:rsid w:val="00B618DE"/>
    <w:rsid w:val="00B62AAC"/>
    <w:rsid w:val="00B773C3"/>
    <w:rsid w:val="00BB1148"/>
    <w:rsid w:val="00BD5B11"/>
    <w:rsid w:val="00C02C70"/>
    <w:rsid w:val="00C37EB5"/>
    <w:rsid w:val="00C44D03"/>
    <w:rsid w:val="00C6097F"/>
    <w:rsid w:val="00C6693F"/>
    <w:rsid w:val="00C73D46"/>
    <w:rsid w:val="00C81EAB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1062"/>
    <w:rsid w:val="00D34D0E"/>
    <w:rsid w:val="00D37123"/>
    <w:rsid w:val="00D4121C"/>
    <w:rsid w:val="00D4195F"/>
    <w:rsid w:val="00D500D6"/>
    <w:rsid w:val="00D579F9"/>
    <w:rsid w:val="00D6157F"/>
    <w:rsid w:val="00D67C36"/>
    <w:rsid w:val="00D87342"/>
    <w:rsid w:val="00D87426"/>
    <w:rsid w:val="00DA1312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B713A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A3AAB"/>
    <w:rsid w:val="00FD3114"/>
    <w:rsid w:val="00FF093E"/>
    <w:rsid w:val="00FF6661"/>
    <w:rsid w:val="00FF7825"/>
    <w:rsid w:val="113027C8"/>
    <w:rsid w:val="19955310"/>
    <w:rsid w:val="19F708C6"/>
    <w:rsid w:val="25A16A1E"/>
    <w:rsid w:val="2934005A"/>
    <w:rsid w:val="36AC7367"/>
    <w:rsid w:val="37AF3E4C"/>
    <w:rsid w:val="3BDD1251"/>
    <w:rsid w:val="5840143B"/>
    <w:rsid w:val="5E9B7F2D"/>
    <w:rsid w:val="5F7764B0"/>
    <w:rsid w:val="626B0D43"/>
    <w:rsid w:val="6E8E18C3"/>
    <w:rsid w:val="6EC14FC1"/>
    <w:rsid w:val="718D3B55"/>
    <w:rsid w:val="75F2361E"/>
    <w:rsid w:val="76056F12"/>
    <w:rsid w:val="78C3334F"/>
    <w:rsid w:val="79CB6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无间隔 字符"/>
    <w:link w:val="12"/>
    <w:uiPriority w:val="1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932</Words>
  <Characters>1016</Characters>
  <Lines>112</Lines>
  <Paragraphs>102</Paragraphs>
  <TotalTime>0</TotalTime>
  <ScaleCrop>false</ScaleCrop>
  <LinksUpToDate>false</LinksUpToDate>
  <CharactersWithSpaces>1846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2025-05-08T14:31:00Z</dcterms:created>
  <dc:creator>huang dong'gen</dc:creator>
  <cp:lastModifiedBy>Daydream</cp:lastModifiedBy>
  <dcterms:modified xsi:type="dcterms:W3CDTF">2025-05-08T14:41:36Z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FB462D6F23344DB2A1AB08C6C2575CA7</vt:lpwstr>
  </property>
</Properties>
</file>