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distribute"/>
        <w:rPr>
          <w:rFonts w:hint="eastAsia" w:ascii="Kaiti SC" w:hAnsi="Kaiti SC" w:eastAsia="Kaiti SC" w:cs="楷体"/>
          <w:b/>
          <w:bCs/>
          <w:color w:val="FF3300"/>
          <w:spacing w:val="-40"/>
          <w:sz w:val="96"/>
          <w:szCs w:val="96"/>
        </w:rPr>
      </w:pPr>
      <w:r>
        <w:rPr>
          <w:rFonts w:hint="eastAsia" w:ascii="Kaiti SC" w:hAnsi="Kaiti SC" w:eastAsia="Kaiti SC" w:cs="楷体"/>
          <w:b/>
          <w:bCs/>
          <w:color w:val="FF3300"/>
          <w:spacing w:val="-40"/>
          <w:sz w:val="96"/>
          <w:szCs w:val="96"/>
        </w:rPr>
        <w:t xml:space="preserve"> </w:t>
      </w:r>
    </w:p>
    <w:p>
      <w:pPr>
        <w:spacing w:line="360" w:lineRule="auto"/>
        <w:jc w:val="center"/>
        <w:rPr>
          <w:rFonts w:hint="eastAsia" w:ascii="宋体" w:hAnsi="宋体" w:eastAsia="宋体"/>
          <w:b/>
          <w:bCs/>
          <w:color w:val="FF3300"/>
          <w:spacing w:val="-40"/>
          <w:sz w:val="84"/>
          <w:szCs w:val="84"/>
        </w:rPr>
      </w:pPr>
      <w:r>
        <w:rPr>
          <w:rFonts w:hint="eastAsia" w:ascii="宋体" w:hAnsi="宋体" w:eastAsia="宋体"/>
          <w:b/>
          <w:bCs/>
          <w:color w:val="FF3300"/>
          <w:spacing w:val="-40"/>
          <w:sz w:val="84"/>
          <w:szCs w:val="84"/>
        </w:rPr>
        <w:t>上海国家会计学院</w:t>
      </w:r>
    </w:p>
    <w:p>
      <w:pPr>
        <w:spacing w:line="360" w:lineRule="auto"/>
        <w:rPr>
          <w:rFonts w:hint="eastAsia" w:ascii="Songti SC" w:hAnsi="Songti SC" w:eastAsia="Songti SC"/>
          <w:b/>
          <w:bCs/>
          <w:sz w:val="11"/>
        </w:rPr>
      </w:pPr>
    </w:p>
    <w:p>
      <w:pPr>
        <w:spacing w:line="360" w:lineRule="auto"/>
        <w:jc w:val="center"/>
        <w:rPr>
          <w:rFonts w:hint="eastAsia" w:ascii="宋体" w:hAnsi="宋体" w:eastAsia="宋体" w:cs="微软雅黑"/>
          <w:bCs/>
          <w:sz w:val="36"/>
          <w:szCs w:val="36"/>
        </w:rPr>
      </w:pPr>
      <w:r>
        <w:rPr>
          <w:rFonts w:hint="eastAsia" w:cs="楷体" w:asciiTheme="minorEastAsia" w:hAnsiTheme="minorEastAsia"/>
          <w:bCs/>
          <w:sz w:val="36"/>
          <w:szCs w:val="36"/>
        </w:rPr>
        <w:t xml:space="preserve"> </w:t>
      </w:r>
      <w:r>
        <w:rPr>
          <w:rFonts w:hint="eastAsia" w:cs="微软雅黑" w:asciiTheme="minorEastAsia" w:hAnsiTheme="minorEastAsia"/>
          <w:bCs/>
          <w:sz w:val="36"/>
          <w:szCs w:val="36"/>
        </w:rPr>
        <w:t xml:space="preserve">  </w:t>
      </w:r>
      <w:r>
        <w:rPr>
          <w:rFonts w:hint="eastAsia" w:ascii="宋体" w:hAnsi="宋体" w:eastAsia="宋体" w:cs="微软雅黑"/>
          <w:bCs/>
          <w:sz w:val="36"/>
          <w:szCs w:val="36"/>
        </w:rPr>
        <w:t>上国会培〔20</w:t>
      </w:r>
      <w:r>
        <w:rPr>
          <w:rFonts w:ascii="宋体" w:hAnsi="宋体" w:eastAsia="宋体" w:cs="微软雅黑"/>
          <w:bCs/>
          <w:sz w:val="36"/>
          <w:szCs w:val="36"/>
        </w:rPr>
        <w:t>2</w:t>
      </w:r>
      <w:r>
        <w:rPr>
          <w:rFonts w:hint="eastAsia" w:ascii="宋体" w:hAnsi="宋体" w:eastAsia="宋体" w:cs="微软雅黑"/>
          <w:bCs/>
          <w:sz w:val="36"/>
          <w:szCs w:val="36"/>
        </w:rPr>
        <w:t>5〕</w:t>
      </w:r>
      <w:r>
        <w:rPr>
          <w:rFonts w:ascii="宋体" w:hAnsi="宋体" w:eastAsia="宋体" w:cs="微软雅黑"/>
          <w:bCs/>
          <w:sz w:val="36"/>
          <w:szCs w:val="36"/>
        </w:rPr>
        <w:t>9</w:t>
      </w:r>
      <w:r>
        <w:rPr>
          <w:rFonts w:hint="eastAsia" w:ascii="宋体" w:hAnsi="宋体" w:eastAsia="宋体" w:cs="微软雅黑"/>
          <w:bCs/>
          <w:sz w:val="36"/>
          <w:szCs w:val="36"/>
        </w:rPr>
        <w:t>号</w:t>
      </w:r>
    </w:p>
    <w:p>
      <w:pPr>
        <w:spacing w:line="360" w:lineRule="auto"/>
        <w:jc w:val="center"/>
        <w:rPr>
          <w:rFonts w:hint="eastAsia" w:ascii="仿宋_GB2312" w:hAnsi="楷体" w:eastAsia="仿宋_GB2312" w:cs="楷体"/>
          <w:b/>
          <w:bCs/>
          <w:sz w:val="20"/>
          <w:szCs w:val="18"/>
        </w:rPr>
      </w:pPr>
      <w:r>
        <w:rPr>
          <w:rFonts w:ascii="仿宋_GB2312" w:eastAsia="仿宋_GB23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283210</wp:posOffset>
                </wp:positionV>
                <wp:extent cx="5461635" cy="13970"/>
                <wp:effectExtent l="12700" t="12700" r="12065" b="11430"/>
                <wp:wrapNone/>
                <wp:docPr id="4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5461635" cy="1397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flip:y;margin-left:-9.75pt;margin-top:22.3pt;height:1.1pt;width:430.05pt;z-index:251659264;mso-width-relative:page;mso-height-relative:page;" filled="f" stroked="t" coordsize="21600,21600" o:gfxdata="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BYAAABkcnMvUEsBAhQAFAAAAAgAh07iQIYSUALVAAAACQEAAA8AAAAAAAAAAQAgAAAA&#10;OAAAAGRycy9kb3ducmV2LnhtbFBLAQIUABQAAAAIAIdO4kAs9msCvwEAAHwDAAAOAAAAAAAAAAEA&#10;IAAAADoBAABkcnMvZTJvRG9jLnhtbFBLBQYAAAAABgAGAFkBAABr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ind w:left="3080" w:right="-31" w:rightChars="-15" w:hanging="3080" w:hangingChars="1400"/>
        <w:rPr>
          <w:rFonts w:hint="eastAsia" w:ascii="仿宋_GB2312" w:hAnsi="微软雅黑" w:eastAsia="仿宋_GB2312" w:cs="微软雅黑"/>
          <w:sz w:val="10"/>
          <w:szCs w:val="10"/>
        </w:rPr>
      </w:pPr>
      <w:r>
        <w:rPr>
          <w:rFonts w:hint="eastAsia" w:ascii="仿宋_GB2312" w:hAnsi="微软雅黑" w:eastAsia="仿宋_GB2312" w:cs="微软雅黑"/>
          <w:sz w:val="22"/>
        </w:rPr>
        <w:t xml:space="preserve">  </w:t>
      </w:r>
    </w:p>
    <w:p>
      <w:pPr>
        <w:spacing w:line="360" w:lineRule="auto"/>
        <w:ind w:left="3795" w:right="-31" w:rightChars="-15" w:hanging="3784" w:hangingChars="1050"/>
        <w:jc w:val="center"/>
        <w:rPr>
          <w:rFonts w:ascii="Calibri" w:hAnsi="Calibri" w:eastAsia="宋体" w:cs="Times New Roman"/>
          <w:b/>
          <w:bCs/>
          <w:sz w:val="36"/>
          <w:szCs w:val="36"/>
        </w:rPr>
      </w:pPr>
      <w:r>
        <w:rPr>
          <w:rFonts w:hint="eastAsia" w:ascii="Calibri" w:hAnsi="Calibri" w:eastAsia="宋体" w:cs="Times New Roman"/>
          <w:b/>
          <w:bCs/>
          <w:sz w:val="36"/>
          <w:szCs w:val="36"/>
        </w:rPr>
        <w:t>关于举办“</w:t>
      </w:r>
      <w:bookmarkStart w:id="0" w:name="_Hlk152859526"/>
      <w:r>
        <w:rPr>
          <w:rFonts w:hint="eastAsia" w:ascii="Calibri" w:hAnsi="Calibri" w:eastAsia="宋体" w:cs="Times New Roman"/>
          <w:b/>
          <w:bCs/>
          <w:sz w:val="36"/>
          <w:szCs w:val="36"/>
        </w:rPr>
        <w:t>拟上市企业财税规范</w:t>
      </w:r>
      <w:bookmarkEnd w:id="0"/>
      <w:r>
        <w:rPr>
          <w:rFonts w:hint="eastAsia" w:ascii="Calibri" w:hAnsi="Calibri" w:eastAsia="宋体" w:cs="Times New Roman"/>
          <w:b/>
          <w:bCs/>
          <w:sz w:val="36"/>
          <w:szCs w:val="36"/>
        </w:rPr>
        <w:t>”专题培训班的通知</w:t>
      </w:r>
    </w:p>
    <w:p>
      <w:pPr>
        <w:pStyle w:val="10"/>
        <w:rPr>
          <w:rFonts w:hint="eastAsia" w:ascii="仿宋_GB2312" w:hAnsi="宋体" w:eastAsia="仿宋_GB2312"/>
          <w:sz w:val="28"/>
          <w:szCs w:val="28"/>
        </w:rPr>
      </w:pPr>
    </w:p>
    <w:p>
      <w:pPr>
        <w:pStyle w:val="10"/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各相关单位：</w:t>
      </w:r>
    </w:p>
    <w:p>
      <w:pPr>
        <w:pStyle w:val="10"/>
        <w:spacing w:line="360" w:lineRule="auto"/>
        <w:ind w:firstLine="640"/>
        <w:rPr>
          <w:rFonts w:hint="eastAsia" w:ascii="仿宋_GB2312" w:hAnsi="宋体" w:eastAsia="仿宋_GB2312"/>
          <w:sz w:val="32"/>
          <w:szCs w:val="32"/>
        </w:rPr>
      </w:pPr>
      <w:bookmarkStart w:id="1" w:name="_Hlk129272088"/>
      <w:r>
        <w:rPr>
          <w:rFonts w:hint="eastAsia" w:ascii="仿宋_GB2312" w:hAnsi="宋体" w:eastAsia="仿宋_GB2312"/>
          <w:sz w:val="32"/>
          <w:szCs w:val="32"/>
        </w:rPr>
        <w:t>2024年的IPO市场发生了巨大变化。4月12日，国务院公布《关于加强监管防范风险推动资本市场高质量发展的若干意见》。这次新“国九条”更加突出了强监管、防风险、促高质量发展的主线，要求提高主板、创业板上市标准，完善科创板科创属性评价标准，压实发行人第一责任和中介机构“看门人”责任等。4月30日，沪深北交易所发布修订后的《股票发行上市审核规则》等业务规则，修订内容涉及上调主板上市标准、上调研发投入等科创属性评价指标、强调创业板成长性要求等。为帮助拟上市企业高管更全面了解新“国九条”后企业上市条件和标准，更好适应企业上市要求，上海国家会计学院继续推出“拟上市企业财税规范”专题培训班，帮助企业高管从财务、法务、税务、内控、股权架构设计等多个角度了解相关专业知识，助力企业成功上市。</w:t>
      </w:r>
    </w:p>
    <w:bookmarkEnd w:id="1"/>
    <w:p>
      <w:pPr>
        <w:pStyle w:val="10"/>
        <w:spacing w:line="360" w:lineRule="auto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附件：一、课程简介</w:t>
      </w:r>
    </w:p>
    <w:p>
      <w:pPr>
        <w:pStyle w:val="10"/>
        <w:spacing w:line="360" w:lineRule="auto"/>
        <w:ind w:firstLine="1600" w:firstLineChars="5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二、报名回执表</w:t>
      </w:r>
    </w:p>
    <w:p>
      <w:pPr>
        <w:pStyle w:val="10"/>
        <w:spacing w:line="360" w:lineRule="auto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360" w:lineRule="auto"/>
        <w:jc w:val="right"/>
        <w:rPr>
          <w:rFonts w:hint="eastAsia" w:ascii="仿宋_GB2312" w:hAnsi="宋体" w:eastAsia="仿宋_GB2312" w:cs="微软雅黑"/>
          <w:sz w:val="32"/>
          <w:szCs w:val="32"/>
        </w:rPr>
      </w:pPr>
    </w:p>
    <w:p>
      <w:pPr>
        <w:spacing w:line="360" w:lineRule="auto"/>
        <w:jc w:val="right"/>
        <w:rPr>
          <w:rFonts w:hint="eastAsia" w:ascii="仿宋_GB2312" w:hAnsi="宋体" w:eastAsia="仿宋_GB2312" w:cs="微软雅黑"/>
          <w:sz w:val="32"/>
          <w:szCs w:val="32"/>
        </w:rPr>
      </w:pPr>
      <w:r>
        <w:rPr>
          <w:rFonts w:hint="eastAsia" w:ascii="仿宋_GB2312" w:hAnsi="宋体" w:eastAsia="仿宋_GB2312" w:cs="微软雅黑"/>
          <w:sz w:val="32"/>
          <w:szCs w:val="32"/>
        </w:rPr>
        <w:t>上海国家会计学院</w:t>
      </w:r>
    </w:p>
    <w:p>
      <w:pPr>
        <w:spacing w:line="360" w:lineRule="auto"/>
        <w:jc w:val="right"/>
        <w:rPr>
          <w:rFonts w:hint="eastAsia" w:ascii="仿宋_GB2312" w:hAnsi="宋体" w:eastAsia="仿宋_GB2312" w:cs="微软雅黑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教务二部</w:t>
      </w:r>
    </w:p>
    <w:p>
      <w:pPr>
        <w:spacing w:line="360" w:lineRule="auto"/>
        <w:jc w:val="right"/>
        <w:rPr>
          <w:rFonts w:hint="eastAsia" w:ascii="仿宋_GB2312" w:hAnsi="宋体" w:eastAsia="仿宋_GB2312" w:cs="微软雅黑"/>
          <w:sz w:val="32"/>
          <w:szCs w:val="32"/>
        </w:rPr>
      </w:pPr>
      <w:r>
        <w:rPr>
          <w:rFonts w:hint="eastAsia" w:ascii="仿宋_GB2312" w:hAnsi="宋体" w:eastAsia="仿宋_GB2312" w:cs="微软雅黑"/>
          <w:sz w:val="32"/>
          <w:szCs w:val="32"/>
        </w:rPr>
        <w:t>2025年</w:t>
      </w:r>
      <w:r>
        <w:rPr>
          <w:rFonts w:ascii="仿宋_GB2312" w:hAnsi="宋体" w:eastAsia="仿宋_GB2312" w:cs="微软雅黑"/>
          <w:sz w:val="32"/>
          <w:szCs w:val="32"/>
        </w:rPr>
        <w:t>1</w:t>
      </w:r>
      <w:r>
        <w:rPr>
          <w:rFonts w:hint="eastAsia" w:ascii="仿宋_GB2312" w:hAnsi="宋体" w:eastAsia="仿宋_GB2312" w:cs="微软雅黑"/>
          <w:sz w:val="32"/>
          <w:szCs w:val="32"/>
        </w:rPr>
        <w:t>月</w:t>
      </w:r>
    </w:p>
    <w:p>
      <w:pPr>
        <w:spacing w:line="360" w:lineRule="auto"/>
        <w:rPr>
          <w:rFonts w:hint="eastAsia" w:ascii="仿宋_GB2312" w:hAnsi="宋体" w:eastAsia="仿宋_GB2312" w:cs="微软雅黑"/>
          <w:sz w:val="32"/>
          <w:szCs w:val="32"/>
        </w:rPr>
      </w:pPr>
    </w:p>
    <w:p>
      <w:pPr>
        <w:spacing w:line="360" w:lineRule="auto"/>
        <w:rPr>
          <w:rFonts w:hint="eastAsia" w:ascii="仿宋_GB2312" w:hAnsi="宋体" w:eastAsia="仿宋_GB2312" w:cs="微软雅黑"/>
          <w:sz w:val="32"/>
          <w:szCs w:val="32"/>
        </w:rPr>
      </w:pPr>
    </w:p>
    <w:p>
      <w:pPr>
        <w:spacing w:line="360" w:lineRule="auto"/>
        <w:rPr>
          <w:rFonts w:hint="eastAsia" w:ascii="仿宋_GB2312" w:hAnsi="宋体" w:eastAsia="仿宋_GB2312" w:cs="微软雅黑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微软雅黑"/>
          <w:b/>
          <w:bCs/>
          <w:kern w:val="0"/>
          <w:sz w:val="32"/>
          <w:szCs w:val="32"/>
        </w:rPr>
        <w:t>附件一：课程简介</w:t>
      </w:r>
    </w:p>
    <w:p>
      <w:pPr>
        <w:pStyle w:val="14"/>
        <w:numPr>
          <w:ilvl w:val="0"/>
          <w:numId w:val="1"/>
        </w:numPr>
        <w:spacing w:line="360" w:lineRule="auto"/>
        <w:ind w:firstLineChars="0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培训安排</w:t>
      </w:r>
    </w:p>
    <w:tbl>
      <w:tblPr>
        <w:tblStyle w:val="6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3260"/>
        <w:gridCol w:w="1843"/>
        <w:gridCol w:w="2835"/>
      </w:tblGrid>
      <w:tr>
        <w:trPr>
          <w:jc w:val="center"/>
        </w:trPr>
        <w:tc>
          <w:tcPr>
            <w:tcW w:w="1271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期数</w:t>
            </w:r>
          </w:p>
        </w:tc>
        <w:tc>
          <w:tcPr>
            <w:tcW w:w="3260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培训时间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报到时间</w:t>
            </w: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培训地点</w:t>
            </w:r>
          </w:p>
        </w:tc>
      </w:tr>
      <w:tr>
        <w:trPr>
          <w:jc w:val="center"/>
        </w:trPr>
        <w:tc>
          <w:tcPr>
            <w:tcW w:w="1271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第1期</w:t>
            </w:r>
          </w:p>
        </w:tc>
        <w:tc>
          <w:tcPr>
            <w:tcW w:w="3260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9月24日-28日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9月23日</w:t>
            </w: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上海国家会计学院</w:t>
            </w:r>
          </w:p>
        </w:tc>
      </w:tr>
    </w:tbl>
    <w:p>
      <w:pPr>
        <w:spacing w:line="360" w:lineRule="auto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二、课程目标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bookmarkStart w:id="2" w:name="_Hlk129272344"/>
      <w:r>
        <w:rPr>
          <w:rFonts w:hint="eastAsia" w:ascii="仿宋_GB2312" w:hAnsi="宋体" w:eastAsia="仿宋_GB2312"/>
          <w:sz w:val="32"/>
          <w:szCs w:val="32"/>
        </w:rPr>
        <w:t>在全面注册制背景下，帮助企业高管掌握IPO过程中的要点，掌握上市条件，规范企业财务、税务、内控体系，助力企业顺利上市。</w:t>
      </w:r>
    </w:p>
    <w:bookmarkEnd w:id="2"/>
    <w:p>
      <w:pPr>
        <w:spacing w:line="360" w:lineRule="auto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三、培训对象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bookmarkStart w:id="3" w:name="_Hlk129272431"/>
      <w:r>
        <w:rPr>
          <w:rFonts w:hint="eastAsia" w:ascii="仿宋_GB2312" w:hAnsi="宋体" w:eastAsia="仿宋_GB2312"/>
          <w:sz w:val="32"/>
          <w:szCs w:val="32"/>
        </w:rPr>
        <w:t>拟上市企业实控人及高管团队，以及其他志于从事IPO相关工作的专业人士。</w:t>
      </w:r>
    </w:p>
    <w:bookmarkEnd w:id="3"/>
    <w:p>
      <w:pPr>
        <w:spacing w:line="360" w:lineRule="auto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四、课程内容</w:t>
      </w:r>
    </w:p>
    <w:p>
      <w:pPr>
        <w:spacing w:line="360" w:lineRule="auto"/>
        <w:rPr>
          <w:rFonts w:hint="eastAsia" w:ascii="仿宋_GB2312" w:hAnsi="宋体" w:eastAsia="仿宋_GB2312"/>
          <w:b/>
          <w:sz w:val="32"/>
          <w:szCs w:val="32"/>
        </w:rPr>
      </w:pPr>
      <w:bookmarkStart w:id="4" w:name="_Hlk129272450"/>
      <w:bookmarkStart w:id="5" w:name="_Hlk8098009"/>
      <w:r>
        <w:rPr>
          <w:rFonts w:hint="eastAsia" w:ascii="仿宋_GB2312" w:hAnsi="宋体" w:eastAsia="仿宋_GB2312"/>
          <w:b/>
          <w:sz w:val="32"/>
          <w:szCs w:val="32"/>
        </w:rPr>
        <w:t>（一）IPO审核问题</w:t>
      </w:r>
    </w:p>
    <w:p>
      <w:pPr>
        <w:spacing w:line="360" w:lineRule="auto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1.全面注册制发行上市条件比较</w:t>
      </w:r>
    </w:p>
    <w:p>
      <w:pPr>
        <w:spacing w:line="360" w:lineRule="auto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2.集团业务与板块选择</w:t>
      </w:r>
    </w:p>
    <w:p>
      <w:pPr>
        <w:spacing w:line="360" w:lineRule="auto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ascii="仿宋_GB2312" w:hAnsi="宋体" w:eastAsia="仿宋_GB2312"/>
          <w:bCs/>
          <w:sz w:val="32"/>
          <w:szCs w:val="32"/>
        </w:rPr>
        <w:t>3</w:t>
      </w:r>
      <w:r>
        <w:rPr>
          <w:rFonts w:hint="eastAsia" w:ascii="仿宋_GB2312" w:hAnsi="宋体" w:eastAsia="仿宋_GB2312"/>
          <w:bCs/>
          <w:sz w:val="32"/>
          <w:szCs w:val="32"/>
        </w:rPr>
        <w:t>.IPO审核关注要点</w:t>
      </w:r>
    </w:p>
    <w:p>
      <w:pPr>
        <w:spacing w:line="360" w:lineRule="auto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4.IPO审核最新变化</w:t>
      </w:r>
    </w:p>
    <w:p>
      <w:pPr>
        <w:spacing w:line="360" w:lineRule="auto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5.近年被否情况与案例</w:t>
      </w:r>
    </w:p>
    <w:p>
      <w:pPr>
        <w:spacing w:line="360" w:lineRule="auto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（二）上市前财务规范体系建设</w:t>
      </w:r>
    </w:p>
    <w:p>
      <w:pPr>
        <w:spacing w:line="360" w:lineRule="auto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1.A股IPO企业财务规范目标</w:t>
      </w:r>
    </w:p>
    <w:p>
      <w:pPr>
        <w:spacing w:line="360" w:lineRule="auto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2.IPO企业财务规范的内在逻辑</w:t>
      </w:r>
    </w:p>
    <w:p>
      <w:pPr>
        <w:spacing w:line="360" w:lineRule="auto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--财务不规范普遍存在</w:t>
      </w:r>
    </w:p>
    <w:p>
      <w:pPr>
        <w:spacing w:line="360" w:lineRule="auto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--财务规范有规可依</w:t>
      </w:r>
    </w:p>
    <w:p>
      <w:pPr>
        <w:spacing w:line="360" w:lineRule="auto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--识别+改进+规范运作</w:t>
      </w:r>
    </w:p>
    <w:p>
      <w:pPr>
        <w:spacing w:line="360" w:lineRule="auto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3.IPO企业财务规范时间表</w:t>
      </w:r>
    </w:p>
    <w:p>
      <w:pPr>
        <w:spacing w:line="360" w:lineRule="auto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4.IPO企业整体层面的财务规范</w:t>
      </w:r>
    </w:p>
    <w:p>
      <w:pPr>
        <w:spacing w:line="360" w:lineRule="auto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权责发生制、账实相符、资金占用、第三方汇款、资金流水核查、信息系统等审核常见问题</w:t>
      </w:r>
    </w:p>
    <w:p>
      <w:pPr>
        <w:spacing w:line="360" w:lineRule="auto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5.IPO企业财务报表层面的财务规范</w:t>
      </w:r>
    </w:p>
    <w:p>
      <w:pPr>
        <w:spacing w:line="360" w:lineRule="auto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财务审核重点关注领域：收入确认、研发投入、股份支付、销售费用、持续经营能力、金融工具、政府补助、企业合并、内部控制有效性等</w:t>
      </w:r>
    </w:p>
    <w:p>
      <w:pPr>
        <w:spacing w:line="360" w:lineRule="auto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6.要点总结</w:t>
      </w:r>
    </w:p>
    <w:p>
      <w:pPr>
        <w:spacing w:line="360" w:lineRule="auto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（三）上市前税务规范</w:t>
      </w:r>
    </w:p>
    <w:p>
      <w:pPr>
        <w:spacing w:line="360" w:lineRule="auto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1.企业上市税审要点分析</w:t>
      </w:r>
    </w:p>
    <w:p>
      <w:pPr>
        <w:spacing w:line="360" w:lineRule="auto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2.税收优惠享受问题</w:t>
      </w:r>
      <w:r>
        <w:rPr>
          <w:rFonts w:ascii="仿宋_GB2312" w:hAnsi="宋体" w:eastAsia="仿宋_GB2312"/>
          <w:bCs/>
          <w:sz w:val="32"/>
          <w:szCs w:val="32"/>
        </w:rPr>
        <w:t xml:space="preserve"> </w:t>
      </w:r>
    </w:p>
    <w:p>
      <w:pPr>
        <w:spacing w:line="360" w:lineRule="auto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ascii="仿宋_GB2312" w:hAnsi="宋体" w:eastAsia="仿宋_GB2312"/>
          <w:bCs/>
          <w:sz w:val="32"/>
          <w:szCs w:val="32"/>
        </w:rPr>
        <w:t>3</w:t>
      </w:r>
      <w:r>
        <w:rPr>
          <w:rFonts w:hint="eastAsia" w:ascii="仿宋_GB2312" w:hAnsi="宋体" w:eastAsia="仿宋_GB2312"/>
          <w:bCs/>
          <w:sz w:val="32"/>
          <w:szCs w:val="32"/>
        </w:rPr>
        <w:t>.企业改制税务问题</w:t>
      </w:r>
    </w:p>
    <w:p>
      <w:pPr>
        <w:spacing w:line="360" w:lineRule="auto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ascii="仿宋_GB2312" w:hAnsi="宋体" w:eastAsia="仿宋_GB2312"/>
          <w:bCs/>
          <w:sz w:val="32"/>
          <w:szCs w:val="32"/>
        </w:rPr>
        <w:t>4</w:t>
      </w:r>
      <w:r>
        <w:rPr>
          <w:rFonts w:hint="eastAsia" w:ascii="仿宋_GB2312" w:hAnsi="宋体" w:eastAsia="仿宋_GB2312"/>
          <w:bCs/>
          <w:sz w:val="32"/>
          <w:szCs w:val="32"/>
        </w:rPr>
        <w:t>.股权变动税务问题</w:t>
      </w:r>
    </w:p>
    <w:p>
      <w:pPr>
        <w:spacing w:line="360" w:lineRule="auto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ascii="仿宋_GB2312" w:hAnsi="宋体" w:eastAsia="仿宋_GB2312"/>
          <w:bCs/>
          <w:sz w:val="32"/>
          <w:szCs w:val="32"/>
        </w:rPr>
        <w:t>5</w:t>
      </w:r>
      <w:r>
        <w:rPr>
          <w:rFonts w:hint="eastAsia" w:ascii="仿宋_GB2312" w:hAnsi="宋体" w:eastAsia="仿宋_GB2312"/>
          <w:bCs/>
          <w:sz w:val="32"/>
          <w:szCs w:val="32"/>
        </w:rPr>
        <w:t>.股权激励税务问题</w:t>
      </w:r>
    </w:p>
    <w:p>
      <w:pPr>
        <w:spacing w:line="360" w:lineRule="auto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（四）拟上市企业内控风险重点和优化</w:t>
      </w:r>
    </w:p>
    <w:p>
      <w:pPr>
        <w:spacing w:line="360" w:lineRule="auto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1.IPO内控及风险管理相关监管要求解读</w:t>
      </w:r>
    </w:p>
    <w:p>
      <w:pPr>
        <w:spacing w:line="360" w:lineRule="auto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2.企业内部控制在IPO过程中的重要性</w:t>
      </w:r>
    </w:p>
    <w:p>
      <w:pPr>
        <w:spacing w:line="360" w:lineRule="auto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3.监管对不同行业企业内控建设关注点</w:t>
      </w:r>
    </w:p>
    <w:p>
      <w:pPr>
        <w:spacing w:line="360" w:lineRule="auto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4.企业风险管理与内部控制</w:t>
      </w:r>
    </w:p>
    <w:p>
      <w:pPr>
        <w:spacing w:line="360" w:lineRule="auto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ascii="仿宋_GB2312" w:hAnsi="宋体" w:eastAsia="仿宋_GB2312"/>
          <w:bCs/>
          <w:sz w:val="32"/>
          <w:szCs w:val="32"/>
        </w:rPr>
        <w:t>5</w:t>
      </w:r>
      <w:r>
        <w:rPr>
          <w:rFonts w:hint="eastAsia" w:ascii="仿宋_GB2312" w:hAnsi="宋体" w:eastAsia="仿宋_GB2312"/>
          <w:bCs/>
          <w:sz w:val="32"/>
          <w:szCs w:val="32"/>
        </w:rPr>
        <w:t>.案例分享</w:t>
      </w:r>
    </w:p>
    <w:p>
      <w:pPr>
        <w:spacing w:line="360" w:lineRule="auto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（五）IPO中的法律问题</w:t>
      </w:r>
      <w:r>
        <w:rPr>
          <w:rFonts w:hint="eastAsia" w:ascii="仿宋_GB2312" w:hAnsi="宋体" w:eastAsia="仿宋_GB2312"/>
          <w:bCs/>
          <w:sz w:val="32"/>
          <w:szCs w:val="32"/>
        </w:rPr>
        <w:t xml:space="preserve"> </w:t>
      </w:r>
    </w:p>
    <w:p>
      <w:pPr>
        <w:spacing w:line="360" w:lineRule="auto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1.全面注册制下IPO的总体法律结构</w:t>
      </w:r>
    </w:p>
    <w:p>
      <w:pPr>
        <w:spacing w:line="360" w:lineRule="auto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2.从发行条件看发行上市的法律问题</w:t>
      </w:r>
    </w:p>
    <w:p>
      <w:pPr>
        <w:spacing w:line="360" w:lineRule="auto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3.实操中细化法律问题：股东穿透核查、对赌协议、瑕疵物业、社保、公积金问题等</w:t>
      </w:r>
    </w:p>
    <w:p>
      <w:pPr>
        <w:spacing w:line="360" w:lineRule="auto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（六）拟上市企业股权架构设计</w:t>
      </w:r>
    </w:p>
    <w:p>
      <w:pPr>
        <w:spacing w:line="360" w:lineRule="auto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1.股权架构设计的总体思路：两个符合、五类股权、两套工具、三个特别关注事项</w:t>
      </w:r>
    </w:p>
    <w:p>
      <w:pPr>
        <w:spacing w:line="360" w:lineRule="auto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2.实控人股权设置</w:t>
      </w:r>
    </w:p>
    <w:p>
      <w:pPr>
        <w:spacing w:line="360" w:lineRule="auto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3.早期共同创始人</w:t>
      </w:r>
    </w:p>
    <w:p>
      <w:pPr>
        <w:spacing w:line="360" w:lineRule="auto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4.私募投资人的股权设置</w:t>
      </w:r>
    </w:p>
    <w:p>
      <w:pPr>
        <w:spacing w:line="360" w:lineRule="auto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5.管理层股权激励</w:t>
      </w:r>
    </w:p>
    <w:p>
      <w:pPr>
        <w:spacing w:line="360" w:lineRule="auto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6</w:t>
      </w:r>
      <w:r>
        <w:rPr>
          <w:rFonts w:ascii="仿宋_GB2312" w:hAnsi="宋体" w:eastAsia="仿宋_GB2312"/>
          <w:bCs/>
          <w:sz w:val="32"/>
          <w:szCs w:val="32"/>
        </w:rPr>
        <w:t>.</w:t>
      </w:r>
      <w:r>
        <w:rPr>
          <w:rFonts w:hint="eastAsia" w:ascii="仿宋_GB2312" w:hAnsi="宋体" w:eastAsia="仿宋_GB2312"/>
          <w:bCs/>
          <w:sz w:val="32"/>
          <w:szCs w:val="32"/>
        </w:rPr>
        <w:t>其他股东</w:t>
      </w:r>
    </w:p>
    <w:p>
      <w:pPr>
        <w:spacing w:line="360" w:lineRule="auto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（七）知名上市企业董秘、财务总监经验分享交流</w:t>
      </w:r>
    </w:p>
    <w:bookmarkEnd w:id="4"/>
    <w:p>
      <w:pPr>
        <w:spacing w:line="360" w:lineRule="auto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五、</w:t>
      </w:r>
      <w:bookmarkEnd w:id="5"/>
      <w:r>
        <w:rPr>
          <w:rFonts w:hint="eastAsia" w:ascii="仿宋_GB2312" w:hAnsi="宋体" w:eastAsia="仿宋_GB2312"/>
          <w:b/>
          <w:bCs/>
          <w:sz w:val="32"/>
          <w:szCs w:val="32"/>
        </w:rPr>
        <w:t>拟邀师资</w:t>
      </w:r>
    </w:p>
    <w:p>
      <w:pPr>
        <w:spacing w:line="360" w:lineRule="auto"/>
        <w:rPr>
          <w:rFonts w:hint="eastAsia" w:ascii="仿宋_GB2312" w:hAnsi="宋体" w:eastAsia="仿宋_GB2312"/>
          <w:bCs/>
          <w:sz w:val="32"/>
          <w:szCs w:val="32"/>
        </w:rPr>
      </w:pPr>
      <w:bookmarkStart w:id="6" w:name="_Hlk129272475"/>
      <w:r>
        <w:rPr>
          <w:rFonts w:hint="eastAsia" w:ascii="仿宋_GB2312" w:hAnsi="宋体" w:eastAsia="仿宋_GB2312"/>
          <w:b/>
          <w:sz w:val="32"/>
          <w:szCs w:val="32"/>
        </w:rPr>
        <w:t>李老师：</w:t>
      </w:r>
      <w:r>
        <w:rPr>
          <w:rFonts w:hint="eastAsia" w:ascii="仿宋_GB2312" w:hAnsi="宋体" w:eastAsia="仿宋_GB2312"/>
          <w:bCs/>
          <w:sz w:val="32"/>
          <w:szCs w:val="32"/>
        </w:rPr>
        <w:t>上海国家会计学院教授、博导，财政部内部控制标准委员会咨询专家。</w:t>
      </w:r>
    </w:p>
    <w:p>
      <w:pPr>
        <w:spacing w:line="360" w:lineRule="auto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鞠老师：</w:t>
      </w:r>
      <w:r>
        <w:rPr>
          <w:rFonts w:hint="eastAsia" w:ascii="仿宋_GB2312" w:hAnsi="宋体" w:eastAsia="仿宋_GB2312"/>
          <w:bCs/>
          <w:sz w:val="32"/>
          <w:szCs w:val="32"/>
        </w:rPr>
        <w:t>上海国家会计学院副教授，全国税务系统四星名师，全国税务系统领军人才，重点研究资本市场的税收问题。</w:t>
      </w:r>
    </w:p>
    <w:p>
      <w:pPr>
        <w:spacing w:line="360" w:lineRule="auto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曹老师：</w:t>
      </w:r>
      <w:r>
        <w:rPr>
          <w:rFonts w:hint="eastAsia" w:ascii="仿宋_GB2312" w:hAnsi="宋体" w:eastAsia="仿宋_GB2312"/>
          <w:bCs/>
          <w:sz w:val="32"/>
          <w:szCs w:val="32"/>
        </w:rPr>
        <w:t>安永审计部总监，参与负责诸多上市公司的筹建、改制、上市和重组项目，曾全职借调监管机构三年，从事会计技术支持工作。</w:t>
      </w:r>
    </w:p>
    <w:p>
      <w:pPr>
        <w:spacing w:line="360" w:lineRule="auto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沈老师：</w:t>
      </w:r>
      <w:r>
        <w:rPr>
          <w:rFonts w:hint="eastAsia" w:ascii="仿宋_GB2312" w:hAnsi="宋体" w:eastAsia="仿宋_GB2312"/>
          <w:bCs/>
          <w:sz w:val="32"/>
          <w:szCs w:val="32"/>
        </w:rPr>
        <w:t>交易所专家。</w:t>
      </w:r>
    </w:p>
    <w:p>
      <w:pPr>
        <w:spacing w:line="360" w:lineRule="auto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倪老师：</w:t>
      </w:r>
      <w:r>
        <w:rPr>
          <w:rFonts w:hint="eastAsia" w:ascii="仿宋_GB2312" w:hAnsi="宋体" w:eastAsia="仿宋_GB2312"/>
          <w:bCs/>
          <w:sz w:val="32"/>
          <w:szCs w:val="32"/>
        </w:rPr>
        <w:t>国浩律师事务所上海办公室管理合伙人、国浩资本市场业务委员会副主任，主要业务领域是资本市场法律服务及与资本市场有关的投资并购、民商事争议解决等。成功承办</w:t>
      </w:r>
      <w:r>
        <w:rPr>
          <w:rFonts w:ascii="仿宋_GB2312" w:hAnsi="宋体" w:eastAsia="仿宋_GB2312"/>
          <w:bCs/>
          <w:sz w:val="32"/>
          <w:szCs w:val="32"/>
        </w:rPr>
        <w:t>30余家中国公司在境内外上市融资。</w:t>
      </w:r>
    </w:p>
    <w:bookmarkEnd w:id="6"/>
    <w:p>
      <w:pPr>
        <w:spacing w:line="360" w:lineRule="auto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武老师：</w:t>
      </w:r>
      <w:r>
        <w:rPr>
          <w:rFonts w:hint="eastAsia" w:ascii="仿宋_GB2312" w:hAnsi="宋体" w:eastAsia="仿宋_GB2312"/>
          <w:bCs/>
          <w:sz w:val="32"/>
          <w:szCs w:val="32"/>
        </w:rPr>
        <w:t>普华永道风险与内控服务部门合伙人，也是普华永道唯一一个提供反垄断合规监督服务的主管合伙人。财政部企业内部控制标准委员会咨询专家、国际注册信息系统审计师。参与证监会相关内部控制建设指南文件的编写，独自完成实务操作部分并作为授课专家支持包括江苏、湖北等多个证监局相关培训，多次为证监会内控相关文件提供技术支持。</w:t>
      </w:r>
    </w:p>
    <w:p>
      <w:pPr>
        <w:spacing w:line="360" w:lineRule="auto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以及知名上市公司的董秘、财务总监等资深专业人士。</w:t>
      </w:r>
    </w:p>
    <w:p>
      <w:pPr>
        <w:spacing w:line="360" w:lineRule="auto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ascii="仿宋_GB2312" w:hAnsi="宋体" w:eastAsia="仿宋_GB2312"/>
          <w:bCs/>
          <w:sz w:val="32"/>
          <w:szCs w:val="32"/>
        </w:rPr>
        <w:t>以及其他资深实务专家。</w:t>
      </w:r>
    </w:p>
    <w:p>
      <w:pPr>
        <w:spacing w:line="360" w:lineRule="auto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六、收费标准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bookmarkStart w:id="7" w:name="_Hlk129272545"/>
      <w:r>
        <w:rPr>
          <w:rFonts w:hint="eastAsia" w:ascii="仿宋_GB2312" w:hAnsi="宋体" w:eastAsia="仿宋_GB2312"/>
          <w:sz w:val="32"/>
          <w:szCs w:val="32"/>
        </w:rPr>
        <w:t>1.培训费：9800元；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2.食宿统一安排，费用自理（具体以开课通知为准）。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3.费用支付方式：培训费由上海国家会计学院收取，支付宝/微信扫码、汇款。食宿费由酒店收取，现场支付。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4.关于发票：培训费发票由学院提供；食宿发票由酒店提供。</w:t>
      </w:r>
    </w:p>
    <w:bookmarkEnd w:id="7"/>
    <w:p>
      <w:pPr>
        <w:spacing w:line="360" w:lineRule="auto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七、结业证书</w:t>
      </w:r>
    </w:p>
    <w:p>
      <w:pPr>
        <w:spacing w:line="360" w:lineRule="auto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sz w:val="32"/>
          <w:szCs w:val="32"/>
        </w:rPr>
        <w:t>培训班结束后由上海国家会计学院颁发结业证书，并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注明学时。继续教育学时认定事宜，烦请学员咨询当地主管部门。</w:t>
      </w:r>
    </w:p>
    <w:p>
      <w:pPr>
        <w:spacing w:line="360" w:lineRule="auto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八、报名咨询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请参加人员填写《报名表》（附后），我们将在开课前一周向报名学员发送《开课通知》。</w:t>
      </w:r>
    </w:p>
    <w:p>
      <w:pPr>
        <w:spacing w:line="360" w:lineRule="auto"/>
        <w:rPr>
          <w:rFonts w:hint="default" w:ascii="仿宋_GB2312" w:hAnsi="宋体" w:eastAsia="仿宋_GB2312"/>
          <w:sz w:val="32"/>
          <w:szCs w:val="32"/>
          <w:lang w:val="en-US" w:eastAsia="zh-Hans"/>
        </w:rPr>
      </w:pPr>
      <w:r>
        <w:rPr>
          <w:rFonts w:hint="eastAsia" w:ascii="仿宋_GB2312" w:hAnsi="宋体" w:eastAsia="仿宋_GB2312"/>
          <w:sz w:val="32"/>
          <w:szCs w:val="32"/>
          <w:lang w:val="en-US" w:eastAsia="zh-Hans"/>
        </w:rPr>
        <w:t>报名咨询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联系人：黄老师18610843353（同微信）</w:t>
      </w:r>
    </w:p>
    <w:p>
      <w:pPr>
        <w:spacing w:line="360" w:lineRule="auto"/>
        <w:rPr>
          <w:rStyle w:val="9"/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邮箱：</w:t>
      </w:r>
      <w:r>
        <w:fldChar w:fldCharType="begin"/>
      </w:r>
      <w:r>
        <w:instrText xml:space="preserve"> HYPERLINK "mailto:51413235@163.com" </w:instrText>
      </w:r>
      <w:r>
        <w:fldChar w:fldCharType="separate"/>
      </w:r>
      <w:r>
        <w:rPr>
          <w:rStyle w:val="9"/>
          <w:rFonts w:hint="eastAsia" w:ascii="仿宋_GB2312" w:hAnsi="宋体" w:eastAsia="仿宋_GB2312"/>
          <w:sz w:val="32"/>
          <w:szCs w:val="32"/>
        </w:rPr>
        <w:t>284828890@qq.com</w:t>
      </w:r>
      <w:r>
        <w:rPr>
          <w:rStyle w:val="9"/>
          <w:rFonts w:hint="eastAsia" w:ascii="仿宋_GB2312" w:hAnsi="宋体" w:eastAsia="仿宋_GB2312"/>
          <w:sz w:val="32"/>
          <w:szCs w:val="32"/>
        </w:rPr>
        <w:fldChar w:fldCharType="end"/>
      </w:r>
    </w:p>
    <w:p>
      <w:pPr>
        <w:spacing w:line="360" w:lineRule="auto"/>
        <w:rPr>
          <w:rFonts w:hint="eastAsia" w:ascii="仿宋_GB2312" w:hAnsi="仿宋" w:eastAsia="仿宋_GB2312"/>
          <w:sz w:val="32"/>
          <w:szCs w:val="32"/>
          <w:lang w:val="en-US" w:eastAsia="zh-Hans"/>
        </w:rPr>
      </w:pP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>课程咨询</w:t>
      </w:r>
      <w:bookmarkStart w:id="8" w:name="_GoBack"/>
      <w:bookmarkEnd w:id="8"/>
    </w:p>
    <w:p>
      <w:pPr>
        <w:spacing w:line="360" w:lineRule="auto"/>
        <w:rPr>
          <w:rFonts w:hint="eastAsia" w:ascii="仿宋_GB2312" w:hAnsi="仿宋" w:eastAsia="仿宋_GB2312"/>
          <w:sz w:val="32"/>
          <w:szCs w:val="32"/>
          <w:lang w:val="en-US" w:eastAsia="zh-Hans"/>
        </w:rPr>
      </w:pP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>联系人</w:t>
      </w:r>
      <w:r>
        <w:rPr>
          <w:rFonts w:hint="default" w:ascii="仿宋_GB2312" w:hAnsi="仿宋" w:eastAsia="仿宋_GB2312"/>
          <w:sz w:val="32"/>
          <w:szCs w:val="32"/>
          <w:lang w:eastAsia="zh-Hans"/>
        </w:rPr>
        <w:t>：</w:t>
      </w: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 xml:space="preserve">曹老师021-39768217 </w:t>
      </w:r>
    </w:p>
    <w:p>
      <w:pPr>
        <w:spacing w:line="360" w:lineRule="auto"/>
        <w:rPr>
          <w:rFonts w:hint="default" w:ascii="仿宋_GB2312" w:hAnsi="仿宋" w:eastAsia="仿宋_GB2312"/>
          <w:sz w:val="32"/>
          <w:szCs w:val="32"/>
          <w:lang w:val="en-US" w:eastAsia="zh-Hans"/>
        </w:rPr>
      </w:pP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>邮箱：caoning@snai.edu</w:t>
      </w:r>
    </w:p>
    <w:p>
      <w:pPr>
        <w:spacing w:line="360" w:lineRule="auto"/>
        <w:rPr>
          <w:rStyle w:val="9"/>
          <w:rFonts w:hint="eastAsia" w:ascii="仿宋_GB2312" w:hAnsi="宋体" w:eastAsia="仿宋_GB2312"/>
          <w:sz w:val="32"/>
          <w:szCs w:val="32"/>
        </w:rPr>
      </w:pPr>
    </w:p>
    <w:p>
      <w:pPr>
        <w:widowControl/>
        <w:tabs>
          <w:tab w:val="center" w:pos="4766"/>
          <w:tab w:val="left" w:pos="6716"/>
        </w:tabs>
        <w:spacing w:line="480" w:lineRule="exact"/>
        <w:rPr>
          <w:rFonts w:hint="eastAsia" w:ascii="宋体" w:hAnsi="宋体" w:eastAsia="宋体"/>
          <w:b/>
          <w:bCs/>
          <w:sz w:val="32"/>
          <w:szCs w:val="32"/>
        </w:rPr>
      </w:pPr>
    </w:p>
    <w:p>
      <w:pPr>
        <w:widowControl/>
        <w:tabs>
          <w:tab w:val="center" w:pos="4766"/>
          <w:tab w:val="left" w:pos="6716"/>
        </w:tabs>
        <w:spacing w:line="480" w:lineRule="exact"/>
        <w:rPr>
          <w:rFonts w:hint="eastAsia" w:ascii="黑体" w:hAnsi="黑体" w:eastAsia="黑体" w:cs="微软雅黑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微软雅黑"/>
          <w:b/>
          <w:bCs/>
          <w:color w:val="000000"/>
          <w:sz w:val="32"/>
          <w:szCs w:val="32"/>
        </w:rPr>
        <w:t>附件二：</w:t>
      </w:r>
    </w:p>
    <w:p>
      <w:pPr>
        <w:widowControl/>
        <w:tabs>
          <w:tab w:val="center" w:pos="4766"/>
          <w:tab w:val="left" w:pos="6716"/>
        </w:tabs>
        <w:spacing w:line="480" w:lineRule="exact"/>
        <w:jc w:val="center"/>
        <w:rPr>
          <w:rFonts w:hint="eastAsia" w:ascii="黑体" w:hAnsi="黑体" w:eastAsia="黑体" w:cs="微软雅黑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微软雅黑"/>
          <w:b/>
          <w:bCs/>
          <w:color w:val="000000"/>
          <w:kern w:val="0"/>
          <w:sz w:val="32"/>
          <w:szCs w:val="32"/>
        </w:rPr>
        <w:t>上海国家会计学院</w:t>
      </w:r>
    </w:p>
    <w:p>
      <w:pPr>
        <w:widowControl/>
        <w:tabs>
          <w:tab w:val="center" w:pos="4766"/>
          <w:tab w:val="left" w:pos="6716"/>
        </w:tabs>
        <w:spacing w:line="480" w:lineRule="exact"/>
        <w:jc w:val="center"/>
        <w:rPr>
          <w:rFonts w:hint="eastAsia" w:ascii="黑体" w:hAnsi="黑体" w:eastAsia="黑体" w:cs="微软雅黑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微软雅黑"/>
          <w:b/>
          <w:bCs/>
          <w:color w:val="000000"/>
          <w:kern w:val="0"/>
          <w:sz w:val="32"/>
          <w:szCs w:val="32"/>
        </w:rPr>
        <w:t>拟上市企业财税规范专题培训班</w:t>
      </w:r>
    </w:p>
    <w:p>
      <w:pPr>
        <w:widowControl/>
        <w:tabs>
          <w:tab w:val="center" w:pos="4766"/>
          <w:tab w:val="left" w:pos="6716"/>
        </w:tabs>
        <w:spacing w:line="480" w:lineRule="exact"/>
        <w:jc w:val="center"/>
        <w:rPr>
          <w:rFonts w:hint="eastAsia" w:ascii="黑体" w:hAnsi="黑体" w:eastAsia="黑体" w:cs="微软雅黑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微软雅黑"/>
          <w:b/>
          <w:bCs/>
          <w:color w:val="000000"/>
          <w:kern w:val="0"/>
          <w:sz w:val="32"/>
          <w:szCs w:val="32"/>
        </w:rPr>
        <w:t>报名表</w:t>
      </w:r>
    </w:p>
    <w:tbl>
      <w:tblPr>
        <w:tblStyle w:val="6"/>
        <w:tblpPr w:leftFromText="180" w:rightFromText="180" w:vertAnchor="text" w:horzAnchor="page" w:tblpX="1455" w:tblpY="156"/>
        <w:tblOverlap w:val="never"/>
        <w:tblW w:w="92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"/>
        <w:gridCol w:w="767"/>
        <w:gridCol w:w="368"/>
        <w:gridCol w:w="699"/>
        <w:gridCol w:w="1102"/>
        <w:gridCol w:w="467"/>
        <w:gridCol w:w="1275"/>
        <w:gridCol w:w="606"/>
        <w:gridCol w:w="670"/>
        <w:gridCol w:w="1789"/>
      </w:tblGrid>
      <w:tr>
        <w:trPr>
          <w:trHeight w:val="644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before="156" w:after="156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单位名称</w:t>
            </w:r>
          </w:p>
        </w:tc>
        <w:tc>
          <w:tcPr>
            <w:tcW w:w="46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utoSpaceDN w:val="0"/>
              <w:ind w:right="96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autoSpaceDN w:val="0"/>
              <w:ind w:right="211"/>
              <w:jc w:val="righ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单位所在地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autoSpaceDN w:val="0"/>
              <w:jc w:val="righ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b/>
                <w:bCs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省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b/>
                <w:bCs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市</w:t>
            </w:r>
          </w:p>
        </w:tc>
      </w:tr>
      <w:tr>
        <w:trPr>
          <w:trHeight w:val="58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联系人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姓名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手机</w:t>
            </w: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邮箱</w:t>
            </w: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学员姓名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int="eastAsia" w:ascii="宋体" w:hAnsi="宋体"/>
                <w:b/>
                <w:color w:val="000000"/>
                <w:spacing w:val="-26"/>
                <w:szCs w:val="21"/>
              </w:rPr>
            </w:pPr>
            <w:r>
              <w:rPr>
                <w:rFonts w:ascii="宋体" w:hAnsi="宋体"/>
                <w:b/>
                <w:color w:val="000000"/>
                <w:spacing w:val="-26"/>
                <w:szCs w:val="21"/>
              </w:rPr>
              <w:t>性别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部门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职务</w:t>
            </w: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手机</w:t>
            </w: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邮箱</w:t>
            </w: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  <w:tr>
        <w:trPr>
          <w:trHeight w:val="1296" w:hRule="atLeast"/>
        </w:trPr>
        <w:tc>
          <w:tcPr>
            <w:tcW w:w="44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报名程序：</w:t>
            </w:r>
          </w:p>
          <w:p>
            <w:pPr>
              <w:tabs>
                <w:tab w:val="left" w:pos="360"/>
                <w:tab w:val="left" w:pos="540"/>
              </w:tabs>
              <w:autoSpaceDN w:val="0"/>
              <w:ind w:left="27"/>
              <w:jc w:val="left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培训费支付：刷卡/支付宝/微信/汇款，其中院外培训不支持刷卡。食宿费现场交纳。</w:t>
            </w:r>
          </w:p>
        </w:tc>
        <w:tc>
          <w:tcPr>
            <w:tcW w:w="48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学院账户：</w:t>
            </w:r>
          </w:p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学院开户行：中国建设银行上海徐泾支行</w:t>
            </w:r>
          </w:p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单位名称：上海国家会计学院</w:t>
            </w:r>
          </w:p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汇款账号：31001984300059768088</w:t>
            </w:r>
          </w:p>
        </w:tc>
      </w:tr>
      <w:tr>
        <w:trPr>
          <w:trHeight w:val="853" w:hRule="atLeast"/>
        </w:trPr>
        <w:tc>
          <w:tcPr>
            <w:tcW w:w="929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报名咨询：</w:t>
            </w:r>
          </w:p>
          <w:p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黄老师：18610843353（同微信）  邮箱：284828890@qq.com </w:t>
            </w:r>
          </w:p>
        </w:tc>
      </w:tr>
    </w:tbl>
    <w:p>
      <w:pPr>
        <w:rPr>
          <w:rFonts w:hint="eastAsia" w:ascii="仿宋_GB2312" w:eastAsia="仿宋_GB2312"/>
          <w:sz w:val="28"/>
          <w:szCs w:val="32"/>
        </w:rPr>
      </w:pPr>
    </w:p>
    <w:sectPr>
      <w:pgSz w:w="11906" w:h="16838"/>
      <w:pgMar w:top="2280" w:right="1800" w:bottom="195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ti SC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Songti SC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EE5165"/>
    <w:multiLevelType w:val="multilevel"/>
    <w:tmpl w:val="51EE5165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752"/>
    <w:rsid w:val="00007B1D"/>
    <w:rsid w:val="00013DE3"/>
    <w:rsid w:val="000166FC"/>
    <w:rsid w:val="00070BAF"/>
    <w:rsid w:val="00073270"/>
    <w:rsid w:val="00077306"/>
    <w:rsid w:val="000840FB"/>
    <w:rsid w:val="00087102"/>
    <w:rsid w:val="0009302F"/>
    <w:rsid w:val="000A18E7"/>
    <w:rsid w:val="000A4F10"/>
    <w:rsid w:val="000A520D"/>
    <w:rsid w:val="000B1175"/>
    <w:rsid w:val="000C7488"/>
    <w:rsid w:val="000D2EBB"/>
    <w:rsid w:val="000D4FE5"/>
    <w:rsid w:val="000E7BD2"/>
    <w:rsid w:val="000F533C"/>
    <w:rsid w:val="000F6ADD"/>
    <w:rsid w:val="00100014"/>
    <w:rsid w:val="001204E2"/>
    <w:rsid w:val="00121251"/>
    <w:rsid w:val="001230D6"/>
    <w:rsid w:val="001416DD"/>
    <w:rsid w:val="0015720A"/>
    <w:rsid w:val="0015752C"/>
    <w:rsid w:val="00161305"/>
    <w:rsid w:val="0016308C"/>
    <w:rsid w:val="0016455A"/>
    <w:rsid w:val="001779BA"/>
    <w:rsid w:val="001857FE"/>
    <w:rsid w:val="00195171"/>
    <w:rsid w:val="001A0A6E"/>
    <w:rsid w:val="001A5C37"/>
    <w:rsid w:val="001B05C7"/>
    <w:rsid w:val="001B0F7C"/>
    <w:rsid w:val="001D41C8"/>
    <w:rsid w:val="001D4765"/>
    <w:rsid w:val="001D6647"/>
    <w:rsid w:val="001D7D96"/>
    <w:rsid w:val="001E6C3D"/>
    <w:rsid w:val="001F3A3E"/>
    <w:rsid w:val="001F7D36"/>
    <w:rsid w:val="0020100A"/>
    <w:rsid w:val="00211EC1"/>
    <w:rsid w:val="0023171C"/>
    <w:rsid w:val="00231E06"/>
    <w:rsid w:val="00234F65"/>
    <w:rsid w:val="00236E67"/>
    <w:rsid w:val="00254D48"/>
    <w:rsid w:val="00267521"/>
    <w:rsid w:val="002777E3"/>
    <w:rsid w:val="00296DA0"/>
    <w:rsid w:val="002970D1"/>
    <w:rsid w:val="00297E79"/>
    <w:rsid w:val="002A03AA"/>
    <w:rsid w:val="002A42F6"/>
    <w:rsid w:val="002C72CE"/>
    <w:rsid w:val="002D4C97"/>
    <w:rsid w:val="002E22B4"/>
    <w:rsid w:val="002F27B9"/>
    <w:rsid w:val="002F3AFB"/>
    <w:rsid w:val="002F7AD7"/>
    <w:rsid w:val="00303F07"/>
    <w:rsid w:val="003161A4"/>
    <w:rsid w:val="003309B2"/>
    <w:rsid w:val="0033102E"/>
    <w:rsid w:val="003338BF"/>
    <w:rsid w:val="0034543F"/>
    <w:rsid w:val="0035048D"/>
    <w:rsid w:val="003550B5"/>
    <w:rsid w:val="00355918"/>
    <w:rsid w:val="003626A9"/>
    <w:rsid w:val="00370684"/>
    <w:rsid w:val="00370ED8"/>
    <w:rsid w:val="003964BC"/>
    <w:rsid w:val="00396BDE"/>
    <w:rsid w:val="003C5414"/>
    <w:rsid w:val="003E1946"/>
    <w:rsid w:val="003E2856"/>
    <w:rsid w:val="003E2DCF"/>
    <w:rsid w:val="003F008B"/>
    <w:rsid w:val="003F0E95"/>
    <w:rsid w:val="003F6710"/>
    <w:rsid w:val="003F7686"/>
    <w:rsid w:val="0040642E"/>
    <w:rsid w:val="004065AA"/>
    <w:rsid w:val="00411A3E"/>
    <w:rsid w:val="004205FE"/>
    <w:rsid w:val="004226CE"/>
    <w:rsid w:val="00422C98"/>
    <w:rsid w:val="004236B8"/>
    <w:rsid w:val="0044072B"/>
    <w:rsid w:val="00445D95"/>
    <w:rsid w:val="00447440"/>
    <w:rsid w:val="00450B37"/>
    <w:rsid w:val="00453B65"/>
    <w:rsid w:val="004545DA"/>
    <w:rsid w:val="004577F6"/>
    <w:rsid w:val="00461442"/>
    <w:rsid w:val="00465425"/>
    <w:rsid w:val="00480C6C"/>
    <w:rsid w:val="00482103"/>
    <w:rsid w:val="00491327"/>
    <w:rsid w:val="004B43D0"/>
    <w:rsid w:val="004B7CBA"/>
    <w:rsid w:val="004C59C1"/>
    <w:rsid w:val="004D1072"/>
    <w:rsid w:val="004D3293"/>
    <w:rsid w:val="004D3DDF"/>
    <w:rsid w:val="004D54FC"/>
    <w:rsid w:val="004E38CB"/>
    <w:rsid w:val="004E7F0D"/>
    <w:rsid w:val="00503086"/>
    <w:rsid w:val="005036BB"/>
    <w:rsid w:val="0050547F"/>
    <w:rsid w:val="005059BD"/>
    <w:rsid w:val="005121D5"/>
    <w:rsid w:val="00526328"/>
    <w:rsid w:val="00542704"/>
    <w:rsid w:val="0054652B"/>
    <w:rsid w:val="0055421C"/>
    <w:rsid w:val="005744B9"/>
    <w:rsid w:val="00581479"/>
    <w:rsid w:val="005A03ED"/>
    <w:rsid w:val="005B0058"/>
    <w:rsid w:val="005B03D7"/>
    <w:rsid w:val="005B76E0"/>
    <w:rsid w:val="005D1D39"/>
    <w:rsid w:val="005D30DB"/>
    <w:rsid w:val="005E7162"/>
    <w:rsid w:val="005F2127"/>
    <w:rsid w:val="006016B4"/>
    <w:rsid w:val="00605498"/>
    <w:rsid w:val="00607255"/>
    <w:rsid w:val="0061191E"/>
    <w:rsid w:val="006124A1"/>
    <w:rsid w:val="00624F3E"/>
    <w:rsid w:val="00625C70"/>
    <w:rsid w:val="006404F6"/>
    <w:rsid w:val="00640F6D"/>
    <w:rsid w:val="006518BB"/>
    <w:rsid w:val="00654B56"/>
    <w:rsid w:val="00670583"/>
    <w:rsid w:val="00693FF0"/>
    <w:rsid w:val="006C1853"/>
    <w:rsid w:val="006C2DFF"/>
    <w:rsid w:val="006C6CFC"/>
    <w:rsid w:val="006E3566"/>
    <w:rsid w:val="006F070F"/>
    <w:rsid w:val="006F327C"/>
    <w:rsid w:val="00701468"/>
    <w:rsid w:val="007030C1"/>
    <w:rsid w:val="00711A66"/>
    <w:rsid w:val="007169A7"/>
    <w:rsid w:val="00723A87"/>
    <w:rsid w:val="007466DF"/>
    <w:rsid w:val="007544FE"/>
    <w:rsid w:val="0075530B"/>
    <w:rsid w:val="00760BFC"/>
    <w:rsid w:val="00771379"/>
    <w:rsid w:val="00777A86"/>
    <w:rsid w:val="0078098B"/>
    <w:rsid w:val="00780AC8"/>
    <w:rsid w:val="00782AD8"/>
    <w:rsid w:val="007877C8"/>
    <w:rsid w:val="00787B40"/>
    <w:rsid w:val="007960D9"/>
    <w:rsid w:val="007A0BDC"/>
    <w:rsid w:val="007A17FF"/>
    <w:rsid w:val="007A1EAF"/>
    <w:rsid w:val="007A48ED"/>
    <w:rsid w:val="007B0956"/>
    <w:rsid w:val="007B1347"/>
    <w:rsid w:val="007B7440"/>
    <w:rsid w:val="007C245E"/>
    <w:rsid w:val="007C26EA"/>
    <w:rsid w:val="007D22D6"/>
    <w:rsid w:val="007D473B"/>
    <w:rsid w:val="007E7260"/>
    <w:rsid w:val="0080603E"/>
    <w:rsid w:val="00812805"/>
    <w:rsid w:val="00826CAC"/>
    <w:rsid w:val="008313A7"/>
    <w:rsid w:val="00835D5C"/>
    <w:rsid w:val="008427EF"/>
    <w:rsid w:val="0084327A"/>
    <w:rsid w:val="00843DFF"/>
    <w:rsid w:val="00847D2C"/>
    <w:rsid w:val="00850629"/>
    <w:rsid w:val="00864C79"/>
    <w:rsid w:val="008720E4"/>
    <w:rsid w:val="0088616F"/>
    <w:rsid w:val="008935AC"/>
    <w:rsid w:val="008A0395"/>
    <w:rsid w:val="008D5907"/>
    <w:rsid w:val="008D6DE2"/>
    <w:rsid w:val="008E30BA"/>
    <w:rsid w:val="008F1D80"/>
    <w:rsid w:val="008F2BE0"/>
    <w:rsid w:val="008F5A1B"/>
    <w:rsid w:val="00900E05"/>
    <w:rsid w:val="00920E94"/>
    <w:rsid w:val="00921DE8"/>
    <w:rsid w:val="00923263"/>
    <w:rsid w:val="00926860"/>
    <w:rsid w:val="00937127"/>
    <w:rsid w:val="009545DE"/>
    <w:rsid w:val="0097431D"/>
    <w:rsid w:val="009757F9"/>
    <w:rsid w:val="00983454"/>
    <w:rsid w:val="00986DAB"/>
    <w:rsid w:val="009906FC"/>
    <w:rsid w:val="009A0CFD"/>
    <w:rsid w:val="009C43A5"/>
    <w:rsid w:val="009D3BCC"/>
    <w:rsid w:val="009D4A9C"/>
    <w:rsid w:val="009D5EB4"/>
    <w:rsid w:val="009E3A96"/>
    <w:rsid w:val="00A14752"/>
    <w:rsid w:val="00A20D16"/>
    <w:rsid w:val="00A34676"/>
    <w:rsid w:val="00A36A8F"/>
    <w:rsid w:val="00A41B30"/>
    <w:rsid w:val="00A52EF4"/>
    <w:rsid w:val="00A57DD0"/>
    <w:rsid w:val="00A738C5"/>
    <w:rsid w:val="00A86F10"/>
    <w:rsid w:val="00AA1FD2"/>
    <w:rsid w:val="00AA2A06"/>
    <w:rsid w:val="00AA7291"/>
    <w:rsid w:val="00AB011E"/>
    <w:rsid w:val="00AB245E"/>
    <w:rsid w:val="00AB6FC0"/>
    <w:rsid w:val="00AC2CA3"/>
    <w:rsid w:val="00AD21E5"/>
    <w:rsid w:val="00AF0B79"/>
    <w:rsid w:val="00B0438B"/>
    <w:rsid w:val="00B0703A"/>
    <w:rsid w:val="00B10FB2"/>
    <w:rsid w:val="00B215D3"/>
    <w:rsid w:val="00B25F85"/>
    <w:rsid w:val="00B3203B"/>
    <w:rsid w:val="00B3708C"/>
    <w:rsid w:val="00B532CC"/>
    <w:rsid w:val="00B70998"/>
    <w:rsid w:val="00B71B88"/>
    <w:rsid w:val="00B83ABF"/>
    <w:rsid w:val="00B91884"/>
    <w:rsid w:val="00BA3986"/>
    <w:rsid w:val="00BB71F1"/>
    <w:rsid w:val="00BB7A89"/>
    <w:rsid w:val="00BD6AFE"/>
    <w:rsid w:val="00BE03D6"/>
    <w:rsid w:val="00C02E9C"/>
    <w:rsid w:val="00C13607"/>
    <w:rsid w:val="00C253F3"/>
    <w:rsid w:val="00C33096"/>
    <w:rsid w:val="00C442DF"/>
    <w:rsid w:val="00C60247"/>
    <w:rsid w:val="00C62953"/>
    <w:rsid w:val="00C63F9C"/>
    <w:rsid w:val="00C63FC7"/>
    <w:rsid w:val="00C67AF7"/>
    <w:rsid w:val="00C84C5D"/>
    <w:rsid w:val="00C858B6"/>
    <w:rsid w:val="00C92432"/>
    <w:rsid w:val="00C937DE"/>
    <w:rsid w:val="00CA1ECC"/>
    <w:rsid w:val="00CB2373"/>
    <w:rsid w:val="00CC2267"/>
    <w:rsid w:val="00CD2EC9"/>
    <w:rsid w:val="00CE5CF9"/>
    <w:rsid w:val="00CF6CBF"/>
    <w:rsid w:val="00D053B0"/>
    <w:rsid w:val="00D10A58"/>
    <w:rsid w:val="00D1263E"/>
    <w:rsid w:val="00D12932"/>
    <w:rsid w:val="00D2184E"/>
    <w:rsid w:val="00D24A40"/>
    <w:rsid w:val="00D24D18"/>
    <w:rsid w:val="00D25E07"/>
    <w:rsid w:val="00D418B2"/>
    <w:rsid w:val="00D41951"/>
    <w:rsid w:val="00D44512"/>
    <w:rsid w:val="00D47E70"/>
    <w:rsid w:val="00D529A1"/>
    <w:rsid w:val="00D52AF9"/>
    <w:rsid w:val="00D57CE3"/>
    <w:rsid w:val="00D62210"/>
    <w:rsid w:val="00D654CA"/>
    <w:rsid w:val="00D711E0"/>
    <w:rsid w:val="00D75014"/>
    <w:rsid w:val="00D7759C"/>
    <w:rsid w:val="00DA1617"/>
    <w:rsid w:val="00DA5484"/>
    <w:rsid w:val="00DA588B"/>
    <w:rsid w:val="00DC5C29"/>
    <w:rsid w:val="00DD1E4D"/>
    <w:rsid w:val="00DD3881"/>
    <w:rsid w:val="00DD49BE"/>
    <w:rsid w:val="00DD4E60"/>
    <w:rsid w:val="00DE3CF0"/>
    <w:rsid w:val="00DE5859"/>
    <w:rsid w:val="00DF2C8A"/>
    <w:rsid w:val="00DF5E07"/>
    <w:rsid w:val="00E1241E"/>
    <w:rsid w:val="00E214A6"/>
    <w:rsid w:val="00E23C67"/>
    <w:rsid w:val="00E54655"/>
    <w:rsid w:val="00E87672"/>
    <w:rsid w:val="00EA078F"/>
    <w:rsid w:val="00EA1E55"/>
    <w:rsid w:val="00EB1FAF"/>
    <w:rsid w:val="00EB3729"/>
    <w:rsid w:val="00EE1529"/>
    <w:rsid w:val="00EE3F6D"/>
    <w:rsid w:val="00EF161F"/>
    <w:rsid w:val="00EF566F"/>
    <w:rsid w:val="00F04C85"/>
    <w:rsid w:val="00F230A1"/>
    <w:rsid w:val="00F26403"/>
    <w:rsid w:val="00F34D57"/>
    <w:rsid w:val="00F353DD"/>
    <w:rsid w:val="00F44B2A"/>
    <w:rsid w:val="00F46518"/>
    <w:rsid w:val="00F54A8D"/>
    <w:rsid w:val="00F612DB"/>
    <w:rsid w:val="00F70821"/>
    <w:rsid w:val="00F7129A"/>
    <w:rsid w:val="00F71FF9"/>
    <w:rsid w:val="00F958A8"/>
    <w:rsid w:val="00FB31AB"/>
    <w:rsid w:val="00FB40B0"/>
    <w:rsid w:val="00FB7754"/>
    <w:rsid w:val="00FD1D6D"/>
    <w:rsid w:val="00FD2DF0"/>
    <w:rsid w:val="00FD49BF"/>
    <w:rsid w:val="00FE3841"/>
    <w:rsid w:val="5FE7C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eastAsia="Times New Roman" w:cs="Times New Roman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1">
    <w:name w:val="页眉 字符"/>
    <w:basedOn w:val="7"/>
    <w:link w:val="4"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uiPriority w:val="99"/>
    <w:rPr>
      <w:sz w:val="18"/>
      <w:szCs w:val="18"/>
    </w:rPr>
  </w:style>
  <w:style w:type="character" w:customStyle="1" w:styleId="13">
    <w:name w:val="日期 字符"/>
    <w:basedOn w:val="7"/>
    <w:link w:val="2"/>
    <w:semiHidden/>
    <w:uiPriority w:val="99"/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363</Words>
  <Characters>2071</Characters>
  <Lines>17</Lines>
  <Paragraphs>4</Paragraphs>
  <TotalTime>0</TotalTime>
  <ScaleCrop>false</ScaleCrop>
  <LinksUpToDate>false</LinksUpToDate>
  <CharactersWithSpaces>2430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2025-01-06T14:31:00Z</dcterms:created>
  <dc:creator>曹 巧波</dc:creator>
  <cp:lastModifiedBy>Daydream</cp:lastModifiedBy>
  <dcterms:modified xsi:type="dcterms:W3CDTF">2025-05-06T15:41:07Z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03DF102EC628647713BD19681E2A32DC_42</vt:lpwstr>
  </property>
</Properties>
</file>