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eastAsia" w:ascii="Kaiti SC" w:hAnsi="Kaiti SC" w:eastAsia="Kaiti SC" w:cs="楷体"/>
          <w:b/>
          <w:bCs/>
          <w:color w:val="FF3300"/>
          <w:spacing w:val="-40"/>
          <w:sz w:val="96"/>
          <w:szCs w:val="96"/>
        </w:rPr>
      </w:pPr>
    </w:p>
    <w:p>
      <w:pPr>
        <w:spacing w:line="360" w:lineRule="auto"/>
        <w:jc w:val="center"/>
        <w:rPr>
          <w:rFonts w:hint="eastAsia" w:ascii="Kaiti SC" w:hAnsi="Kaiti SC" w:eastAsia="Kaiti SC" w:cs="楷体"/>
          <w:b/>
          <w:bCs/>
          <w:color w:val="FF3300"/>
          <w:spacing w:val="-40"/>
          <w:sz w:val="96"/>
          <w:szCs w:val="96"/>
        </w:rPr>
      </w:pPr>
      <w:r>
        <w:rPr>
          <w:rFonts w:ascii="Songti SC" w:hAnsi="Songti SC" w:eastAsia="Songti SC"/>
          <w:b/>
          <w:bCs/>
          <w:sz w:val="11"/>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87630</wp:posOffset>
                </wp:positionV>
                <wp:extent cx="4114800"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noFill/>
                        <a:ln w="9525">
                          <a:noFill/>
                          <a:miter lim="800000"/>
                        </a:ln>
                      </wps:spPr>
                      <wps:txbx>
                        <w:txbxContent>
                          <w:p>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上海国家会计学院</w:t>
                            </w:r>
                          </w:p>
                          <w:p>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上海数据交易所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6.9pt;height:110.6pt;width:324pt;mso-position-horizontal:center;mso-position-horizontal-relative:margin;mso-wrap-distance-bottom:3.6pt;mso-wrap-distance-left:9pt;mso-wrap-distance-right:9pt;mso-wrap-distance-top:3.6pt;z-index:251660288;mso-width-relative:page;mso-height-relative:margin;mso-height-percent:200;" filled="f" stroked="f" coordsize="21600,21600" o:gfxdata="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3ISOK1AAAAAcBAAAPAAAAAAAAAAEAIAAAADgAAABkcnMvZG93&#10;bnJldi54bWxQSwECFAAUAAAACACHTuJAVA/ANScCAAAsBAAADgAAAAAAAAABACAAAAA5AQAAZHJz&#10;L2Uyb0RvYy54bWxQSwUGAAAAAAYABgBZAQAA0gUAAAAA&#10;">
                <v:fill on="f" focussize="0,0"/>
                <v:stroke on="f" miterlimit="8" joinstyle="miter"/>
                <v:imagedata o:title=""/>
                <o:lock v:ext="edit" aspectratio="f"/>
                <v:textbox style="mso-fit-shape-to-text:t;">
                  <w:txbxContent>
                    <w:p>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上海国家会计学院</w:t>
                      </w:r>
                    </w:p>
                    <w:p>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上海数据交易所</w:t>
                      </w:r>
                    </w:p>
                  </w:txbxContent>
                </v:textbox>
                <w10:wrap type="square"/>
              </v:shape>
            </w:pict>
          </mc:Fallback>
        </mc:AlternateContent>
      </w:r>
    </w:p>
    <w:p>
      <w:pPr>
        <w:spacing w:line="360" w:lineRule="auto"/>
        <w:jc w:val="center"/>
        <w:rPr>
          <w:rFonts w:hint="eastAsia" w:ascii="宋体" w:hAnsi="宋体" w:cs="微软雅黑"/>
          <w:bCs/>
          <w:sz w:val="32"/>
          <w:szCs w:val="32"/>
        </w:rPr>
      </w:pPr>
    </w:p>
    <w:p>
      <w:pPr>
        <w:spacing w:line="360" w:lineRule="auto"/>
        <w:jc w:val="center"/>
        <w:rPr>
          <w:rFonts w:hint="eastAsia" w:ascii="宋体" w:hAnsi="宋体" w:cs="微软雅黑"/>
          <w:bCs/>
          <w:sz w:val="32"/>
          <w:szCs w:val="32"/>
        </w:rPr>
      </w:pPr>
    </w:p>
    <w:p>
      <w:pPr>
        <w:spacing w:line="360" w:lineRule="auto"/>
        <w:rPr>
          <w:rFonts w:hint="eastAsia" w:ascii="Songti SC" w:hAnsi="Songti SC" w:eastAsia="Songti SC"/>
          <w:b/>
          <w:bCs/>
          <w:sz w:val="11"/>
        </w:rPr>
      </w:pPr>
    </w:p>
    <w:p>
      <w:pPr>
        <w:spacing w:line="360" w:lineRule="auto"/>
        <w:jc w:val="center"/>
        <w:rPr>
          <w:rFonts w:hint="eastAsia" w:ascii="宋体" w:hAnsi="宋体" w:cs="微软雅黑"/>
          <w:bCs/>
          <w:sz w:val="32"/>
          <w:szCs w:val="32"/>
        </w:rPr>
      </w:pPr>
    </w:p>
    <w:p>
      <w:pPr>
        <w:spacing w:line="360" w:lineRule="auto"/>
        <w:jc w:val="center"/>
        <w:rPr>
          <w:rFonts w:hint="eastAsia" w:ascii="宋体" w:hAnsi="宋体" w:cs="微软雅黑"/>
          <w:bCs/>
          <w:sz w:val="32"/>
          <w:szCs w:val="32"/>
        </w:rPr>
      </w:pPr>
      <w:r>
        <w:rPr>
          <w:rFonts w:hint="eastAsia" w:ascii="宋体" w:hAnsi="宋体" w:cs="微软雅黑"/>
          <w:bCs/>
          <w:sz w:val="32"/>
          <w:szCs w:val="32"/>
        </w:rPr>
        <w:t>上国会培〔2025〕70号</w:t>
      </w:r>
    </w:p>
    <w:p>
      <w:pPr>
        <w:spacing w:line="360" w:lineRule="auto"/>
        <w:jc w:val="center"/>
        <w:rPr>
          <w:rFonts w:hint="eastAsia" w:ascii="宋体" w:hAnsi="宋体" w:cs="微软雅黑"/>
          <w:bCs/>
          <w:sz w:val="32"/>
          <w:szCs w:val="32"/>
        </w:rPr>
      </w:pPr>
    </w:p>
    <w:p>
      <w:pPr>
        <w:spacing w:line="360" w:lineRule="auto"/>
        <w:jc w:val="center"/>
        <w:rPr>
          <w:rFonts w:hint="eastAsia" w:ascii="仿宋_GB2312" w:hAnsi="楷体" w:eastAsia="仿宋_GB2312" w:cs="楷体"/>
          <w:b/>
          <w:bCs/>
          <w:sz w:val="20"/>
          <w:szCs w:val="18"/>
        </w:rPr>
      </w:pPr>
      <w: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74930</wp:posOffset>
                </wp:positionV>
                <wp:extent cx="5461635" cy="13970"/>
                <wp:effectExtent l="0" t="0" r="24765" b="24130"/>
                <wp:wrapNone/>
                <wp:docPr id="3" name="Line 4"/>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5.9pt;height:1.1pt;width:430.05pt;z-index:251659264;mso-width-relative:page;mso-height-relative:page;" filled="f" stroked="t" coordsize="21600,21600" o:gfxdata="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efN1QAAAAkBAAAPAAAAAAAAAAEAIAAAADgAAABkcnMvZG93bnJldi54bWxQSwECFAAUAAAACACH&#10;TuJAWtqmW9gBAACuAwAADgAAAAAAAAABACAAAAA6AQAAZHJzL2Uyb0RvYy54bWxQSwUGAAAAAAYA&#10;BgBZAQAAhAUAAAAA&#10;">
                <v:fill on="f" focussize="0,0"/>
                <v:stroke weight="2pt" color="#FF0000" joinstyle="round"/>
                <v:imagedata o:title=""/>
                <o:lock v:ext="edit" aspectratio="f"/>
              </v:line>
            </w:pict>
          </mc:Fallback>
        </mc:AlternateContent>
      </w:r>
    </w:p>
    <w:p>
      <w:pPr>
        <w:spacing w:line="360" w:lineRule="auto"/>
        <w:ind w:right="-31" w:rightChars="-15"/>
        <w:jc w:val="center"/>
        <w:rPr>
          <w:rFonts w:hint="eastAsia" w:ascii="黑体" w:hAnsi="黑体" w:eastAsia="黑体"/>
          <w:b/>
          <w:bCs/>
          <w:sz w:val="36"/>
          <w:szCs w:val="36"/>
        </w:rPr>
      </w:pPr>
      <w:r>
        <w:rPr>
          <w:rFonts w:hint="eastAsia" w:ascii="黑体" w:hAnsi="黑体" w:eastAsia="黑体"/>
          <w:b/>
          <w:bCs/>
          <w:sz w:val="36"/>
          <w:szCs w:val="36"/>
        </w:rPr>
        <w:t>关于举办“数据资产估值研修班”的通知</w:t>
      </w:r>
    </w:p>
    <w:p>
      <w:pPr>
        <w:rPr>
          <w:rFonts w:hint="eastAsia" w:ascii="仿宋_GB2312" w:hAnsi="宋体" w:eastAsia="仿宋_GB2312"/>
          <w:sz w:val="32"/>
          <w:szCs w:val="32"/>
        </w:rPr>
      </w:pPr>
    </w:p>
    <w:p>
      <w:pPr>
        <w:widowControl/>
        <w:jc w:val="left"/>
        <w:rPr>
          <w:rFonts w:ascii="仿宋_GB2312" w:eastAsia="仿宋_GB2312"/>
          <w:sz w:val="32"/>
          <w:szCs w:val="32"/>
        </w:rPr>
      </w:pPr>
      <w:r>
        <w:rPr>
          <w:rFonts w:hint="eastAsia" w:ascii="仿宋_GB2312" w:eastAsia="仿宋_GB2312"/>
          <w:sz w:val="32"/>
          <w:szCs w:val="32"/>
        </w:rPr>
        <w:t>各相关单位：</w:t>
      </w:r>
    </w:p>
    <w:p>
      <w:pPr>
        <w:widowControl/>
        <w:ind w:firstLine="640" w:firstLineChars="200"/>
        <w:jc w:val="left"/>
        <w:rPr>
          <w:rFonts w:ascii="仿宋_GB2312" w:eastAsia="仿宋_GB2312"/>
          <w:sz w:val="32"/>
          <w:szCs w:val="32"/>
        </w:rPr>
      </w:pPr>
      <w:r>
        <w:rPr>
          <w:rFonts w:hint="eastAsia" w:ascii="仿宋_GB2312" w:eastAsia="仿宋_GB2312"/>
          <w:sz w:val="32"/>
          <w:szCs w:val="32"/>
        </w:rPr>
        <w:t>作为新质生产力的核心要素，数据资产在推动高质量发展、促进经济增长中发挥着重要作用。《中共中央国务院关于构建数据基础制度更好发挥数据要素作用的意见》强调，准确估值能够激发数据要素市场活力，吸引多元主体参与数据流通，提升数据资源配置效率。数据资产估值是推动数据资产开发利用的关键，有助于促进数字经济与实体经济深度融合。通过数据资产估值，企业可明确数据资产价值，合理分配资源，优化研发投入。</w:t>
      </w:r>
    </w:p>
    <w:p>
      <w:pPr>
        <w:widowControl/>
        <w:ind w:firstLine="640" w:firstLineChars="200"/>
        <w:jc w:val="left"/>
        <w:rPr>
          <w:rFonts w:ascii="仿宋_GB2312" w:eastAsia="仿宋_GB2312"/>
          <w:sz w:val="32"/>
          <w:szCs w:val="32"/>
        </w:rPr>
      </w:pPr>
      <w:r>
        <w:rPr>
          <w:rFonts w:hint="eastAsia" w:ascii="仿宋_GB2312" w:eastAsia="仿宋_GB2312"/>
          <w:sz w:val="32"/>
          <w:szCs w:val="32"/>
        </w:rPr>
        <w:t>为帮助企业清晰理解数据资产估值，上海国家会计学院联合上海数据交易所共同开设“数据资产估值研修班”，邀请数据资产领域资深学者与专家，围绕数据的价值发现、数据资产评估相关准则以及数据资产估值实践等进行深入研讨，助力学员从宏观经济发展到企业微观运营，深入了解数据资产估值及其对数字经济与实体经济融合的推动作用。</w:t>
      </w:r>
    </w:p>
    <w:p>
      <w:pPr>
        <w:widowControl/>
        <w:ind w:firstLine="640" w:firstLineChars="200"/>
        <w:jc w:val="left"/>
        <w:rPr>
          <w:rFonts w:ascii="仿宋_GB2312" w:eastAsia="仿宋_GB2312"/>
          <w:sz w:val="32"/>
          <w:szCs w:val="32"/>
        </w:rPr>
      </w:pPr>
      <w:r>
        <w:rPr>
          <w:rFonts w:hint="eastAsia" w:ascii="仿宋_GB2312" w:eastAsia="仿宋_GB2312"/>
          <w:sz w:val="32"/>
          <w:szCs w:val="32"/>
        </w:rPr>
        <w:t>附件：一、课程简介</w:t>
      </w:r>
    </w:p>
    <w:p>
      <w:pPr>
        <w:ind w:firstLine="1600" w:firstLineChars="500"/>
        <w:rPr>
          <w:rFonts w:ascii="仿宋_GB2312" w:eastAsia="仿宋_GB2312"/>
          <w:sz w:val="32"/>
          <w:szCs w:val="32"/>
        </w:rPr>
      </w:pPr>
      <w:r>
        <w:rPr>
          <w:rFonts w:hint="eastAsia" w:ascii="仿宋_GB2312" w:eastAsia="仿宋_GB2312"/>
          <w:sz w:val="32"/>
          <w:szCs w:val="32"/>
        </w:rPr>
        <w:t>二、报名回执表</w:t>
      </w:r>
    </w:p>
    <w:p>
      <w:pPr>
        <w:spacing w:line="600" w:lineRule="exact"/>
        <w:rPr>
          <w:rFonts w:hint="eastAsia" w:ascii="仿宋_GB2312" w:hAnsi="宋体" w:eastAsia="仿宋_GB2312" w:cs="微软雅黑"/>
          <w:sz w:val="32"/>
          <w:szCs w:val="32"/>
        </w:rPr>
      </w:pPr>
    </w:p>
    <w:p>
      <w:pPr>
        <w:spacing w:line="600" w:lineRule="exact"/>
        <w:rPr>
          <w:rFonts w:hint="eastAsia" w:ascii="仿宋_GB2312" w:hAnsi="宋体" w:eastAsia="仿宋_GB2312" w:cs="微软雅黑"/>
          <w:sz w:val="32"/>
          <w:szCs w:val="32"/>
        </w:rPr>
      </w:pPr>
    </w:p>
    <w:p>
      <w:pPr>
        <w:spacing w:line="600" w:lineRule="exact"/>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r>
        <w:rPr>
          <w:rFonts w:hint="eastAsia" w:ascii="仿宋_GB2312" w:hAnsi="宋体" w:eastAsia="仿宋_GB2312"/>
          <w:sz w:val="32"/>
          <w:szCs w:val="32"/>
        </w:rPr>
        <w:t>教务二部</w:t>
      </w:r>
    </w:p>
    <w:p>
      <w:pPr>
        <w:spacing w:line="600" w:lineRule="exact"/>
        <w:ind w:firstLine="6400" w:firstLineChars="2000"/>
        <w:rPr>
          <w:rFonts w:hint="eastAsia" w:ascii="仿宋_GB2312" w:hAnsi="宋体" w:eastAsia="仿宋_GB2312" w:cs="微软雅黑"/>
          <w:sz w:val="32"/>
          <w:szCs w:val="32"/>
        </w:rPr>
      </w:pPr>
      <w:r>
        <w:rPr>
          <w:rFonts w:ascii="仿宋_GB2312" w:hAnsi="宋体" w:eastAsia="仿宋_GB2312" w:cs="微软雅黑"/>
          <w:sz w:val="32"/>
          <w:szCs w:val="32"/>
        </w:rPr>
        <w:t>202</w:t>
      </w:r>
      <w:r>
        <w:rPr>
          <w:rFonts w:hint="eastAsia" w:ascii="仿宋_GB2312" w:hAnsi="宋体" w:eastAsia="仿宋_GB2312" w:cs="微软雅黑"/>
          <w:sz w:val="32"/>
          <w:szCs w:val="32"/>
        </w:rPr>
        <w:t>5年</w:t>
      </w:r>
      <w:r>
        <w:rPr>
          <w:rFonts w:hint="eastAsia" w:ascii="仿宋_GB2312" w:hAnsi="宋体" w:eastAsia="仿宋_GB2312" w:cs="微软雅黑"/>
          <w:sz w:val="32"/>
          <w:szCs w:val="32"/>
          <w:lang w:val="en-US" w:eastAsia="zh-CN"/>
        </w:rPr>
        <w:t>3</w:t>
      </w:r>
      <w:r>
        <w:rPr>
          <w:rFonts w:hint="eastAsia" w:ascii="仿宋_GB2312" w:hAnsi="宋体" w:eastAsia="仿宋_GB2312" w:cs="微软雅黑"/>
          <w:sz w:val="32"/>
          <w:szCs w:val="32"/>
        </w:rPr>
        <w:t>月</w:t>
      </w:r>
    </w:p>
    <w:p>
      <w:pPr>
        <w:spacing w:line="600" w:lineRule="exact"/>
        <w:rPr>
          <w:rFonts w:hint="eastAsia" w:ascii="仿宋_GB2312" w:hAnsi="宋体" w:eastAsia="仿宋_GB2312" w:cs="微软雅黑"/>
          <w:sz w:val="32"/>
          <w:szCs w:val="32"/>
        </w:rPr>
      </w:pPr>
    </w:p>
    <w:p>
      <w:pPr>
        <w:spacing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pPr>
        <w:pStyle w:val="11"/>
        <w:numPr>
          <w:ilvl w:val="0"/>
          <w:numId w:val="1"/>
        </w:numPr>
        <w:spacing w:line="360" w:lineRule="auto"/>
        <w:rPr>
          <w:rFonts w:hint="eastAsia" w:ascii="仿宋_GB2312" w:hAnsi="仿宋" w:eastAsia="仿宋_GB2312"/>
          <w:b/>
          <w:color w:val="auto"/>
          <w:sz w:val="28"/>
          <w:szCs w:val="28"/>
        </w:rPr>
      </w:pPr>
      <w:r>
        <w:rPr>
          <w:rFonts w:hint="eastAsia" w:ascii="仿宋_GB2312" w:hAnsi="仿宋" w:eastAsia="仿宋_GB2312"/>
          <w:b/>
          <w:color w:val="auto"/>
          <w:sz w:val="28"/>
          <w:szCs w:val="28"/>
        </w:rPr>
        <w:t>培训安排</w:t>
      </w:r>
    </w:p>
    <w:p>
      <w:pPr>
        <w:pStyle w:val="11"/>
        <w:numPr>
          <w:numId w:val="0"/>
        </w:numPr>
        <w:spacing w:line="360" w:lineRule="auto"/>
        <w:rPr>
          <w:rFonts w:hint="eastAsia" w:ascii="仿宋_GB2312" w:hAnsi="仿宋" w:eastAsia="仿宋_GB2312"/>
          <w:b/>
          <w:color w:val="auto"/>
          <w:sz w:val="28"/>
          <w:szCs w:val="28"/>
          <w:lang w:val="en-US" w:eastAsia="zh-Hans"/>
        </w:rPr>
      </w:pPr>
      <w:r>
        <w:rPr>
          <w:rFonts w:hint="eastAsia" w:ascii="仿宋_GB2312" w:hAnsi="仿宋" w:eastAsia="仿宋_GB2312"/>
          <w:b/>
          <w:color w:val="auto"/>
          <w:sz w:val="28"/>
          <w:szCs w:val="28"/>
          <w:lang w:val="en-US" w:eastAsia="zh-Hans"/>
        </w:rPr>
        <w:t>待定</w:t>
      </w:r>
      <w:bookmarkStart w:id="7" w:name="_GoBack"/>
      <w:bookmarkEnd w:id="7"/>
    </w:p>
    <w:p>
      <w:pPr>
        <w:pStyle w:val="11"/>
        <w:numPr>
          <w:numId w:val="0"/>
        </w:numPr>
        <w:spacing w:line="360" w:lineRule="auto"/>
        <w:rPr>
          <w:rFonts w:ascii="仿宋_GB2312" w:hAnsi="仿宋" w:eastAsia="仿宋_GB2312"/>
          <w:bCs/>
          <w:color w:val="auto"/>
          <w:sz w:val="28"/>
          <w:szCs w:val="28"/>
        </w:rPr>
      </w:pPr>
      <w:r>
        <w:rPr>
          <w:rFonts w:hint="eastAsia" w:ascii="仿宋_GB2312" w:hAnsi="仿宋" w:eastAsia="仿宋_GB2312"/>
          <w:bCs/>
          <w:color w:val="auto"/>
          <w:sz w:val="28"/>
          <w:szCs w:val="28"/>
        </w:rPr>
        <w:t>上课地点：</w:t>
      </w:r>
    </w:p>
    <w:p>
      <w:pPr>
        <w:pStyle w:val="11"/>
        <w:spacing w:line="360" w:lineRule="auto"/>
        <w:rPr>
          <w:rFonts w:hint="eastAsia" w:ascii="仿宋_GB2312" w:hAnsi="仿宋" w:eastAsia="仿宋_GB2312"/>
          <w:bCs/>
          <w:color w:val="auto"/>
          <w:sz w:val="28"/>
          <w:szCs w:val="28"/>
        </w:rPr>
      </w:pPr>
      <w:r>
        <w:rPr>
          <w:rFonts w:hint="eastAsia" w:ascii="仿宋_GB2312" w:hAnsi="仿宋" w:eastAsia="仿宋_GB2312"/>
          <w:bCs/>
          <w:color w:val="auto"/>
          <w:sz w:val="28"/>
          <w:szCs w:val="28"/>
          <w:lang w:val="en-US" w:eastAsia="zh-CN"/>
        </w:rPr>
        <w:t>（一三五期）上海国家会计学院，上海市青浦区蟠龙路200号</w:t>
      </w:r>
      <w:bookmarkStart w:id="0" w:name="OLE_LINK4"/>
    </w:p>
    <w:bookmarkEnd w:id="0"/>
    <w:p>
      <w:pPr>
        <w:pStyle w:val="11"/>
        <w:spacing w:line="360" w:lineRule="auto"/>
        <w:rPr>
          <w:rFonts w:hint="eastAsia" w:ascii="仿宋_GB2312" w:hAnsi="仿宋" w:eastAsia="仿宋_GB2312"/>
          <w:bCs/>
          <w:color w:val="auto"/>
          <w:sz w:val="28"/>
          <w:szCs w:val="28"/>
          <w:lang w:val="en-US" w:eastAsia="zh-CN"/>
        </w:rPr>
      </w:pPr>
      <w:r>
        <w:rPr>
          <w:rFonts w:hint="eastAsia" w:ascii="仿宋_GB2312" w:hAnsi="仿宋" w:eastAsia="仿宋_GB2312"/>
          <w:bCs/>
          <w:color w:val="auto"/>
          <w:sz w:val="28"/>
          <w:szCs w:val="28"/>
          <w:lang w:eastAsia="zh-CN"/>
        </w:rPr>
        <w:t>（</w:t>
      </w:r>
      <w:r>
        <w:rPr>
          <w:rFonts w:hint="eastAsia" w:ascii="仿宋_GB2312" w:hAnsi="仿宋" w:eastAsia="仿宋_GB2312"/>
          <w:bCs/>
          <w:color w:val="auto"/>
          <w:sz w:val="28"/>
          <w:szCs w:val="28"/>
          <w:lang w:val="en-US" w:eastAsia="zh-CN"/>
        </w:rPr>
        <w:t>二四期）上海数据交易所，浦东新区丹桂路999号张江国创中心一期A3</w:t>
      </w:r>
    </w:p>
    <w:p>
      <w:pPr>
        <w:pStyle w:val="11"/>
        <w:spacing w:line="360" w:lineRule="auto"/>
        <w:rPr>
          <w:rFonts w:hint="eastAsia" w:ascii="仿宋_GB2312" w:hAnsi="仿宋" w:eastAsia="仿宋_GB2312"/>
          <w:b/>
          <w:color w:val="auto"/>
          <w:sz w:val="28"/>
          <w:szCs w:val="28"/>
        </w:rPr>
      </w:pPr>
      <w:r>
        <w:rPr>
          <w:rFonts w:hint="eastAsia" w:ascii="仿宋_GB2312" w:hAnsi="仿宋" w:eastAsia="仿宋_GB2312"/>
          <w:b/>
          <w:color w:val="auto"/>
          <w:sz w:val="28"/>
          <w:szCs w:val="28"/>
        </w:rPr>
        <w:t>二、课程收益</w:t>
      </w:r>
    </w:p>
    <w:p>
      <w:pPr>
        <w:widowControl/>
        <w:tabs>
          <w:tab w:val="left" w:pos="720"/>
        </w:tabs>
        <w:spacing w:line="288" w:lineRule="atLeast"/>
        <w:textAlignment w:val="baseline"/>
        <w:rPr>
          <w:rFonts w:hint="eastAsia" w:ascii="仿宋_GB2312" w:hAnsi="仿宋" w:eastAsia="仿宋_GB2312"/>
          <w:bCs/>
          <w:sz w:val="28"/>
          <w:szCs w:val="28"/>
        </w:rPr>
      </w:pPr>
      <w:r>
        <w:rPr>
          <w:rFonts w:hint="eastAsia" w:ascii="仿宋_GB2312" w:hAnsi="仿宋" w:eastAsia="仿宋_GB2312"/>
          <w:bCs/>
          <w:sz w:val="28"/>
          <w:szCs w:val="28"/>
        </w:rPr>
        <w:t>1.全面了解数据及数据的价值发现；</w:t>
      </w:r>
    </w:p>
    <w:p>
      <w:pPr>
        <w:widowControl/>
        <w:tabs>
          <w:tab w:val="left" w:pos="720"/>
        </w:tabs>
        <w:spacing w:line="288" w:lineRule="atLeast"/>
        <w:textAlignment w:val="baseline"/>
        <w:rPr>
          <w:rFonts w:hint="eastAsia" w:ascii="仿宋_GB2312" w:hAnsi="仿宋" w:eastAsia="仿宋_GB2312"/>
          <w:bCs/>
          <w:sz w:val="28"/>
          <w:szCs w:val="28"/>
        </w:rPr>
      </w:pPr>
      <w:r>
        <w:rPr>
          <w:rFonts w:hint="eastAsia" w:ascii="仿宋_GB2312" w:hAnsi="仿宋" w:eastAsia="仿宋_GB2312"/>
          <w:bCs/>
          <w:sz w:val="28"/>
          <w:szCs w:val="28"/>
        </w:rPr>
        <w:t>2.深入学习数据资产评估相关准则；</w:t>
      </w:r>
    </w:p>
    <w:p>
      <w:pPr>
        <w:pStyle w:val="11"/>
        <w:numPr>
          <w:ilvl w:val="0"/>
          <w:numId w:val="2"/>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对标学习真实交易案例与“金准估”评估体系。</w:t>
      </w:r>
    </w:p>
    <w:p>
      <w:pPr>
        <w:pStyle w:val="11"/>
        <w:spacing w:line="360" w:lineRule="auto"/>
        <w:rPr>
          <w:rFonts w:hint="eastAsia" w:ascii="仿宋_GB2312" w:hAnsi="仿宋" w:eastAsia="仿宋_GB2312"/>
          <w:bCs/>
          <w:sz w:val="28"/>
          <w:szCs w:val="28"/>
        </w:rPr>
      </w:pPr>
      <w:r>
        <w:rPr>
          <w:rFonts w:hint="eastAsia" w:ascii="仿宋_GB2312" w:hAnsi="仿宋" w:eastAsia="仿宋_GB2312"/>
          <w:b/>
          <w:sz w:val="28"/>
          <w:szCs w:val="28"/>
        </w:rPr>
        <w:t>三、培训对象</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数据资产化意愿强的大中型企业和数据要素型企业的财务、信息等相关岗位的中高级管理人员，以及相关从业人员。</w:t>
      </w:r>
    </w:p>
    <w:p>
      <w:pPr>
        <w:pStyle w:val="11"/>
        <w:spacing w:line="360" w:lineRule="auto"/>
        <w:rPr>
          <w:rFonts w:hint="eastAsia" w:ascii="仿宋_GB2312" w:hAnsi="仿宋" w:eastAsia="仿宋_GB2312"/>
          <w:b/>
          <w:sz w:val="28"/>
          <w:szCs w:val="28"/>
        </w:rPr>
      </w:pPr>
      <w:r>
        <w:rPr>
          <w:rFonts w:hint="eastAsia" w:ascii="仿宋_GB2312" w:hAnsi="仿宋" w:eastAsia="仿宋_GB2312"/>
          <w:b/>
          <w:sz w:val="28"/>
          <w:szCs w:val="28"/>
        </w:rPr>
        <w:t>四、课程内容（以实际课表为准）</w:t>
      </w:r>
    </w:p>
    <w:p>
      <w:pPr>
        <w:pStyle w:val="11"/>
        <w:spacing w:line="360" w:lineRule="auto"/>
        <w:rPr>
          <w:rFonts w:hint="eastAsia" w:ascii="仿宋_GB2312" w:hAnsi="仿宋" w:eastAsia="仿宋_GB2312"/>
          <w:bCs/>
          <w:sz w:val="28"/>
          <w:szCs w:val="28"/>
        </w:rPr>
      </w:pPr>
      <w:bookmarkStart w:id="1" w:name="OLE_LINK2"/>
      <w:r>
        <w:rPr>
          <w:rFonts w:hint="eastAsia" w:ascii="仿宋_GB2312" w:hAnsi="仿宋" w:eastAsia="仿宋_GB2312"/>
          <w:bCs/>
          <w:sz w:val="28"/>
          <w:szCs w:val="28"/>
        </w:rPr>
        <w:t xml:space="preserve">模块一、大数据分析与AI应用 </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（一）人工智能的历史与发展</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（二）大数据分析与AI应用实例</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（三）数据行业与人工智能相关展望</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模块二、数据价值发现与企业数据资产化</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（一）数据资产化展望与相关政策</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（二）数据资产的商业模式及应用</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模块三、数据资产入表</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（一）数据资产入表的背景与意义</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（二）数据资产入表的方法与流程</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模块四、</w:t>
      </w:r>
      <w:bookmarkStart w:id="2" w:name="OLE_LINK6"/>
      <w:r>
        <w:rPr>
          <w:rFonts w:hint="eastAsia" w:ascii="仿宋_GB2312" w:hAnsi="仿宋" w:eastAsia="仿宋_GB2312"/>
          <w:bCs/>
          <w:sz w:val="28"/>
          <w:szCs w:val="28"/>
        </w:rPr>
        <w:t>数据资产相关评估准则</w:t>
      </w:r>
    </w:p>
    <w:p>
      <w:pPr>
        <w:pStyle w:val="11"/>
        <w:numPr>
          <w:ilvl w:val="0"/>
          <w:numId w:val="3"/>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数据资产评估概述</w:t>
      </w:r>
    </w:p>
    <w:p>
      <w:pPr>
        <w:pStyle w:val="11"/>
        <w:numPr>
          <w:ilvl w:val="0"/>
          <w:numId w:val="3"/>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数据资产评估准则要点</w:t>
      </w:r>
    </w:p>
    <w:p>
      <w:pPr>
        <w:pStyle w:val="11"/>
        <w:numPr>
          <w:ilvl w:val="0"/>
          <w:numId w:val="3"/>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数据资产评估中的关键问题</w:t>
      </w:r>
    </w:p>
    <w:bookmarkEnd w:id="2"/>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模块五、金准估的估值理论基础</w:t>
      </w:r>
    </w:p>
    <w:p>
      <w:pPr>
        <w:pStyle w:val="11"/>
        <w:numPr>
          <w:ilvl w:val="0"/>
          <w:numId w:val="4"/>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数据资产评估对象分类</w:t>
      </w:r>
    </w:p>
    <w:p>
      <w:pPr>
        <w:pStyle w:val="11"/>
        <w:numPr>
          <w:ilvl w:val="0"/>
          <w:numId w:val="4"/>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数据资产价值影响因素</w:t>
      </w:r>
    </w:p>
    <w:p>
      <w:pPr>
        <w:pStyle w:val="11"/>
        <w:numPr>
          <w:ilvl w:val="0"/>
          <w:numId w:val="4"/>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数据资产评估方法选择</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模块六、金准估“12+4+x”估值体系介绍</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（一）“三库联动、一桥贯通”的整体架构</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（二）数据资产桥（DCB）—估值体系基础设施</w:t>
      </w:r>
    </w:p>
    <w:p>
      <w:pPr>
        <w:pStyle w:val="11"/>
        <w:spacing w:line="360" w:lineRule="auto"/>
        <w:rPr>
          <w:rFonts w:hint="eastAsia" w:ascii="仿宋_GB2312" w:hAnsi="仿宋" w:eastAsia="仿宋_GB2312"/>
          <w:bCs/>
          <w:sz w:val="28"/>
          <w:szCs w:val="28"/>
        </w:rPr>
      </w:pPr>
      <w:r>
        <w:rPr>
          <w:rFonts w:hint="eastAsia" w:ascii="仿宋_GB2312" w:hAnsi="仿宋" w:eastAsia="仿宋_GB2312"/>
          <w:bCs/>
          <w:sz w:val="28"/>
          <w:szCs w:val="28"/>
        </w:rPr>
        <w:t>（三）金准估模型库—估值方法地图</w:t>
      </w:r>
    </w:p>
    <w:p>
      <w:pPr>
        <w:pStyle w:val="11"/>
        <w:spacing w:line="360" w:lineRule="auto"/>
        <w:rPr>
          <w:rFonts w:hint="eastAsia" w:ascii="仿宋_GB2312" w:hAnsi="仿宋" w:eastAsia="仿宋_GB2312"/>
          <w:b/>
          <w:sz w:val="28"/>
          <w:szCs w:val="28"/>
        </w:rPr>
      </w:pPr>
      <w:r>
        <w:rPr>
          <w:rFonts w:hint="eastAsia" w:ascii="仿宋_GB2312" w:hAnsi="仿宋" w:eastAsia="仿宋_GB2312"/>
          <w:bCs/>
          <w:sz w:val="28"/>
          <w:szCs w:val="28"/>
        </w:rPr>
        <w:t>（四）金准估指标库—价值影响因素体系</w:t>
      </w:r>
    </w:p>
    <w:bookmarkEnd w:id="1"/>
    <w:p>
      <w:pPr>
        <w:spacing w:line="360" w:lineRule="auto"/>
        <w:rPr>
          <w:rFonts w:hint="eastAsia" w:ascii="仿宋_GB2312" w:hAnsi="仿宋" w:eastAsia="仿宋_GB2312"/>
          <w:b/>
          <w:sz w:val="28"/>
          <w:szCs w:val="28"/>
        </w:rPr>
      </w:pPr>
      <w:r>
        <w:rPr>
          <w:rFonts w:hint="eastAsia" w:ascii="仿宋_GB2312" w:hAnsi="仿宋" w:eastAsia="仿宋_GB2312"/>
          <w:b/>
          <w:sz w:val="28"/>
          <w:szCs w:val="28"/>
        </w:rPr>
        <w:t>五、师资阵容</w:t>
      </w:r>
    </w:p>
    <w:p>
      <w:pPr>
        <w:spacing w:line="360" w:lineRule="auto"/>
        <w:rPr>
          <w:rFonts w:hint="eastAsia" w:ascii="仿宋_GB2312" w:hAnsi="仿宋" w:eastAsia="仿宋_GB2312"/>
          <w:bCs/>
          <w:sz w:val="28"/>
          <w:szCs w:val="28"/>
        </w:rPr>
      </w:pPr>
      <w:bookmarkStart w:id="3" w:name="_Hlk191394108"/>
      <w:r>
        <w:rPr>
          <w:rFonts w:hint="eastAsia" w:ascii="仿宋_GB2312" w:hAnsi="仿宋" w:eastAsia="仿宋_GB2312"/>
          <w:bCs/>
          <w:sz w:val="28"/>
          <w:szCs w:val="28"/>
        </w:rPr>
        <w:t>李老师</w:t>
      </w:r>
      <w:bookmarkEnd w:id="3"/>
      <w:r>
        <w:rPr>
          <w:rFonts w:hint="eastAsia" w:ascii="仿宋_GB2312" w:hAnsi="仿宋" w:eastAsia="仿宋_GB2312"/>
          <w:bCs/>
          <w:sz w:val="28"/>
          <w:szCs w:val="28"/>
        </w:rPr>
        <w:t>：上海国家会计学院副教授、上海国家会计学院国际财务报告准则协同研究中心主任，上海财经大学管理学(会计学方向）博士，美国加州大学伯克利分校访问学者。近年来主持或参与多项与数据资产相关的课题及调研工作、发表相关论文并获奖。财政部第四届企业会计准则咨询委员会委员，财政部国际化高端会计人才和对外财经人才、联合国审计人才。</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季老师：上海国家会计学院数字服务研究中心学术主任。美国圣路易斯华盛顿大学奥林商学院，亚利桑那州立大学凯瑞商学院访问学者。研究和教学领域在管理会计、数据资产化和绩效管理等方面，完成多项省部级重大课题和政府、企业委托项目，担任国务院发展研究中心外聘专家，上海市教学成果奖二等奖获得者。</w:t>
      </w:r>
    </w:p>
    <w:p>
      <w:pPr>
        <w:spacing w:line="360" w:lineRule="auto"/>
        <w:rPr>
          <w:rFonts w:hint="eastAsia" w:ascii="仿宋_GB2312" w:hAnsi="仿宋" w:eastAsia="仿宋_GB2312"/>
          <w:bCs/>
          <w:sz w:val="28"/>
          <w:szCs w:val="28"/>
        </w:rPr>
      </w:pPr>
      <w:bookmarkStart w:id="4" w:name="_Hlk191394133"/>
      <w:r>
        <w:rPr>
          <w:rFonts w:hint="eastAsia" w:ascii="仿宋_GB2312" w:hAnsi="仿宋" w:eastAsia="仿宋_GB2312"/>
          <w:bCs/>
          <w:sz w:val="28"/>
          <w:szCs w:val="28"/>
        </w:rPr>
        <w:t>林老师：</w:t>
      </w:r>
      <w:bookmarkStart w:id="5" w:name="OLE_LINK7"/>
      <w:r>
        <w:rPr>
          <w:rFonts w:hint="eastAsia" w:ascii="仿宋_GB2312" w:hAnsi="仿宋" w:eastAsia="仿宋_GB2312"/>
          <w:bCs/>
          <w:sz w:val="28"/>
          <w:szCs w:val="28"/>
        </w:rPr>
        <w:t>金证资产评估总裁</w:t>
      </w:r>
      <w:bookmarkEnd w:id="4"/>
      <w:bookmarkEnd w:id="5"/>
      <w:r>
        <w:rPr>
          <w:rFonts w:hint="eastAsia" w:ascii="仿宋_GB2312" w:hAnsi="仿宋" w:eastAsia="仿宋_GB2312"/>
          <w:bCs/>
          <w:sz w:val="28"/>
          <w:szCs w:val="28"/>
        </w:rPr>
        <w:t>，主持和参与数百项境外并购估值、上市公司重大资产重组、实体经济企业股权评估、科技类创投估值及战略咨询业务，多次负责中国资产评估协会、各央企集团和上海市、区国资委重大专业课题。</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陈老师：复旦大学大数据学院青年研究员、博士生导师，上海市高层次引进人才，复旦大学可视分析与智能决策实验室负责人(FDUVIS)。曾任德国弗劳恩霍夫智能分析和信息系统研究所(Fraunhofer IAIS)）研究科学家与德国波恩大学的博士后研究员，从事大数据可视化与可视分析研究十余年。</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以及来自上海数据交易所、标杆企业的资深实务专家。</w:t>
      </w:r>
    </w:p>
    <w:p>
      <w:pPr>
        <w:numPr>
          <w:ilvl w:val="0"/>
          <w:numId w:val="5"/>
        </w:numPr>
        <w:spacing w:line="360" w:lineRule="auto"/>
        <w:rPr>
          <w:rFonts w:hint="eastAsia" w:ascii="仿宋_GB2312" w:hAnsi="仿宋" w:eastAsia="仿宋_GB2312"/>
          <w:bCs/>
          <w:sz w:val="28"/>
          <w:szCs w:val="28"/>
        </w:rPr>
      </w:pPr>
      <w:r>
        <w:rPr>
          <w:rFonts w:hint="eastAsia" w:ascii="仿宋_GB2312" w:hAnsi="仿宋" w:eastAsia="仿宋_GB2312"/>
          <w:b/>
          <w:sz w:val="28"/>
          <w:szCs w:val="28"/>
        </w:rPr>
        <w:t>收费标准</w:t>
      </w:r>
    </w:p>
    <w:p>
      <w:pPr>
        <w:pStyle w:val="5"/>
        <w:widowControl/>
        <w:numPr>
          <w:ilvl w:val="0"/>
          <w:numId w:val="6"/>
        </w:numPr>
        <w:shd w:val="clear" w:color="auto" w:fill="FFFFFF"/>
        <w:spacing w:beforeAutospacing="0" w:after="240" w:afterAutospacing="0"/>
        <w:textAlignment w:val="center"/>
        <w:rPr>
          <w:rFonts w:hint="eastAsia" w:ascii="仿宋_GB2312" w:hAnsi="仿宋" w:eastAsia="仿宋_GB2312"/>
          <w:bCs/>
          <w:sz w:val="28"/>
          <w:szCs w:val="28"/>
        </w:rPr>
      </w:pPr>
      <w:r>
        <w:rPr>
          <w:rFonts w:hint="eastAsia" w:ascii="仿宋_GB2312" w:hAnsi="仿宋" w:eastAsia="仿宋_GB2312"/>
          <w:bCs/>
          <w:sz w:val="28"/>
          <w:szCs w:val="28"/>
        </w:rPr>
        <w:t>培训费：5800元/人，食宿自理。</w:t>
      </w:r>
    </w:p>
    <w:p>
      <w:pPr>
        <w:pStyle w:val="5"/>
        <w:widowControl/>
        <w:numPr>
          <w:ilvl w:val="0"/>
          <w:numId w:val="6"/>
        </w:numPr>
        <w:shd w:val="clear" w:color="auto" w:fill="FFFFFF"/>
        <w:spacing w:beforeAutospacing="0" w:after="240" w:afterAutospacing="0"/>
        <w:textAlignment w:val="center"/>
        <w:rPr>
          <w:rFonts w:hint="eastAsia" w:ascii="仿宋_GB2312" w:hAnsi="仿宋" w:eastAsia="仿宋_GB2312"/>
          <w:bCs/>
          <w:sz w:val="28"/>
          <w:szCs w:val="28"/>
        </w:rPr>
      </w:pPr>
      <w:r>
        <w:rPr>
          <w:rFonts w:hint="eastAsia" w:ascii="仿宋_GB2312" w:hAnsi="仿宋" w:eastAsia="仿宋_GB2312"/>
          <w:bCs/>
          <w:sz w:val="28"/>
          <w:szCs w:val="28"/>
        </w:rPr>
        <w:t>汇款</w:t>
      </w:r>
      <w:r>
        <w:rPr>
          <w:rFonts w:hint="eastAsia" w:ascii="仿宋_GB2312" w:hAnsi="仿宋" w:eastAsia="仿宋_GB2312"/>
          <w:bCs/>
          <w:sz w:val="28"/>
          <w:szCs w:val="28"/>
          <w:lang w:val="en-US" w:eastAsia="zh-CN"/>
        </w:rPr>
        <w:t>信息</w:t>
      </w:r>
    </w:p>
    <w:p>
      <w:pPr>
        <w:pStyle w:val="5"/>
        <w:widowControl/>
        <w:shd w:val="clear" w:color="auto" w:fill="FFFFFF"/>
        <w:spacing w:after="240"/>
        <w:textAlignment w:val="center"/>
        <w:rPr>
          <w:rFonts w:hint="eastAsia" w:ascii="仿宋_GB2312" w:hAnsi="仿宋" w:eastAsia="仿宋_GB2312"/>
          <w:bCs/>
          <w:sz w:val="28"/>
          <w:szCs w:val="28"/>
        </w:rPr>
      </w:pPr>
      <w:r>
        <w:rPr>
          <w:rFonts w:hint="eastAsia" w:ascii="仿宋_GB2312" w:hAnsi="仿宋" w:eastAsia="仿宋_GB2312"/>
          <w:bCs/>
          <w:sz w:val="28"/>
          <w:szCs w:val="28"/>
        </w:rPr>
        <w:t>学院开户行：中国建设银行上海徐泾支行</w:t>
      </w:r>
    </w:p>
    <w:p>
      <w:pPr>
        <w:pStyle w:val="5"/>
        <w:widowControl/>
        <w:shd w:val="clear" w:color="auto" w:fill="FFFFFF"/>
        <w:spacing w:after="240"/>
        <w:textAlignment w:val="center"/>
        <w:rPr>
          <w:rFonts w:hint="eastAsia" w:ascii="仿宋_GB2312" w:hAnsi="仿宋" w:eastAsia="仿宋_GB2312"/>
          <w:bCs/>
          <w:sz w:val="28"/>
          <w:szCs w:val="28"/>
        </w:rPr>
      </w:pPr>
      <w:r>
        <w:rPr>
          <w:rFonts w:hint="eastAsia" w:ascii="仿宋_GB2312" w:hAnsi="仿宋" w:eastAsia="仿宋_GB2312"/>
          <w:bCs/>
          <w:sz w:val="28"/>
          <w:szCs w:val="28"/>
        </w:rPr>
        <w:t>单位名称：上海国家会计学院</w:t>
      </w:r>
    </w:p>
    <w:p>
      <w:pPr>
        <w:pStyle w:val="5"/>
        <w:widowControl/>
        <w:shd w:val="clear" w:color="auto" w:fill="FFFFFF"/>
        <w:spacing w:beforeAutospacing="0" w:after="240" w:afterAutospacing="0"/>
        <w:textAlignment w:val="center"/>
        <w:rPr>
          <w:rFonts w:hint="eastAsia" w:ascii="仿宋_GB2312" w:hAnsi="仿宋" w:eastAsia="仿宋_GB2312"/>
          <w:bCs/>
          <w:sz w:val="28"/>
          <w:szCs w:val="28"/>
        </w:rPr>
      </w:pPr>
      <w:r>
        <w:rPr>
          <w:rFonts w:hint="eastAsia" w:ascii="仿宋_GB2312" w:hAnsi="仿宋" w:eastAsia="仿宋_GB2312"/>
          <w:bCs/>
          <w:sz w:val="28"/>
          <w:szCs w:val="28"/>
        </w:rPr>
        <w:t>汇款账号：31001984300059768088</w:t>
      </w:r>
    </w:p>
    <w:p>
      <w:pPr>
        <w:pStyle w:val="5"/>
        <w:widowControl/>
        <w:numPr>
          <w:ilvl w:val="0"/>
          <w:numId w:val="6"/>
        </w:numPr>
        <w:shd w:val="clear" w:color="auto" w:fill="FFFFFF"/>
        <w:spacing w:beforeAutospacing="0" w:after="240" w:afterAutospacing="0"/>
        <w:textAlignment w:val="center"/>
        <w:rPr>
          <w:rFonts w:hint="eastAsia" w:ascii="仿宋_GB2312" w:hAnsi="仿宋" w:eastAsia="仿宋_GB2312"/>
          <w:bCs/>
          <w:sz w:val="28"/>
          <w:szCs w:val="28"/>
        </w:rPr>
      </w:pPr>
      <w:r>
        <w:rPr>
          <w:rFonts w:hint="eastAsia" w:ascii="仿宋_GB2312" w:hAnsi="仿宋" w:eastAsia="仿宋_GB2312"/>
          <w:bCs/>
          <w:sz w:val="28"/>
          <w:szCs w:val="28"/>
        </w:rPr>
        <w:t>培训费发票由学院提供。</w:t>
      </w:r>
      <w:r>
        <w:rPr>
          <w:rFonts w:hint="eastAsia" w:ascii="仿宋_GB2312" w:hAnsi="仿宋" w:eastAsia="仿宋_GB2312"/>
          <w:bCs/>
          <w:sz w:val="28"/>
          <w:szCs w:val="28"/>
        </w:rPr>
        <w:cr/>
      </w:r>
      <w:r>
        <w:rPr>
          <w:rFonts w:hint="eastAsia" w:ascii="仿宋_GB2312" w:hAnsi="仿宋" w:eastAsia="仿宋_GB2312"/>
          <w:b/>
          <w:sz w:val="28"/>
          <w:szCs w:val="28"/>
        </w:rPr>
        <w:t>八、结业证书</w:t>
      </w:r>
      <w:r>
        <w:rPr>
          <w:rFonts w:ascii="仿宋_GB2312" w:hAnsi="仿宋" w:eastAsia="仿宋_GB2312"/>
          <w:b/>
          <w:sz w:val="28"/>
          <w:szCs w:val="28"/>
        </w:rPr>
        <w:cr/>
      </w:r>
      <w:r>
        <w:rPr>
          <w:rFonts w:hint="eastAsia" w:ascii="仿宋_GB2312" w:hAnsi="仿宋" w:eastAsia="仿宋_GB2312"/>
          <w:bCs/>
          <w:sz w:val="28"/>
          <w:szCs w:val="28"/>
        </w:rPr>
        <w:t>完成课程学习后，上海国家会计学院与上海数据交易所联合颁发“数据资产估值研修班”结业证书。继续教育学时认定事宜，烦请学员咨询当地主管部门。</w:t>
      </w:r>
    </w:p>
    <w:p>
      <w:pPr>
        <w:pStyle w:val="11"/>
        <w:spacing w:line="360" w:lineRule="auto"/>
        <w:rPr>
          <w:rFonts w:hint="eastAsia" w:ascii="仿宋_GB2312" w:hAnsi="仿宋" w:eastAsia="仿宋_GB2312"/>
          <w:b/>
          <w:sz w:val="28"/>
          <w:szCs w:val="28"/>
        </w:rPr>
      </w:pPr>
      <w:r>
        <w:rPr>
          <w:rFonts w:hint="eastAsia" w:ascii="仿宋_GB2312" w:hAnsi="仿宋" w:eastAsia="仿宋_GB2312"/>
          <w:b/>
          <w:sz w:val="28"/>
          <w:szCs w:val="28"/>
        </w:rPr>
        <w:t>九、联系报名</w:t>
      </w:r>
    </w:p>
    <w:p>
      <w:pPr>
        <w:pStyle w:val="11"/>
        <w:spacing w:line="360" w:lineRule="auto"/>
        <w:rPr>
          <w:rFonts w:hint="eastAsia"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杨老师：15901871618</w:t>
      </w:r>
    </w:p>
    <w:p>
      <w:pPr>
        <w:pStyle w:val="11"/>
        <w:spacing w:line="360" w:lineRule="auto"/>
        <w:rPr>
          <w:rFonts w:hint="eastAsia" w:ascii="黑体" w:hAnsi="黑体" w:eastAsia="黑体" w:cs="微软雅黑"/>
          <w:b/>
          <w:bCs/>
          <w:color w:val="000000"/>
          <w:sz w:val="36"/>
          <w:szCs w:val="36"/>
        </w:rPr>
      </w:pPr>
      <w:r>
        <w:rPr>
          <w:rFonts w:hint="eastAsia" w:ascii="仿宋_GB2312" w:hAnsi="仿宋" w:eastAsia="仿宋_GB2312"/>
          <w:bCs/>
          <w:sz w:val="28"/>
          <w:szCs w:val="28"/>
        </w:rPr>
        <w:t>胡老师：13671861672</w:t>
      </w:r>
    </w:p>
    <w:p>
      <w:pPr>
        <w:widowControl/>
        <w:tabs>
          <w:tab w:val="center" w:pos="4766"/>
          <w:tab w:val="left" w:pos="6716"/>
        </w:tabs>
        <w:spacing w:line="360" w:lineRule="auto"/>
        <w:jc w:val="left"/>
        <w:rPr>
          <w:rFonts w:hint="eastAsia" w:ascii="黑体" w:hAnsi="黑体" w:eastAsia="黑体" w:cs="微软雅黑"/>
          <w:b/>
          <w:bCs/>
          <w:color w:val="000000"/>
          <w:sz w:val="36"/>
          <w:szCs w:val="36"/>
        </w:rPr>
      </w:pPr>
      <w:r>
        <w:rPr>
          <w:rFonts w:hint="eastAsia" w:ascii="黑体" w:hAnsi="黑体" w:eastAsia="黑体" w:cs="微软雅黑"/>
          <w:b/>
          <w:bCs/>
          <w:color w:val="000000"/>
          <w:sz w:val="36"/>
          <w:szCs w:val="36"/>
        </w:rPr>
        <w:t>附件二：</w:t>
      </w:r>
    </w:p>
    <w:p>
      <w:pPr>
        <w:widowControl/>
        <w:tabs>
          <w:tab w:val="center" w:pos="4766"/>
          <w:tab w:val="left" w:pos="6716"/>
        </w:tabs>
        <w:spacing w:line="440" w:lineRule="exact"/>
        <w:jc w:val="center"/>
        <w:rPr>
          <w:rFonts w:hint="eastAsia" w:ascii="黑体" w:hAnsi="黑体" w:eastAsia="黑体" w:cs="微软雅黑"/>
          <w:b/>
          <w:bCs/>
          <w:color w:val="000000"/>
          <w:sz w:val="32"/>
          <w:szCs w:val="32"/>
        </w:rPr>
      </w:pPr>
    </w:p>
    <w:p>
      <w:pPr>
        <w:widowControl/>
        <w:tabs>
          <w:tab w:val="center" w:pos="4766"/>
          <w:tab w:val="left" w:pos="6716"/>
        </w:tabs>
        <w:spacing w:line="500" w:lineRule="exact"/>
        <w:jc w:val="center"/>
        <w:rPr>
          <w:rFonts w:hint="eastAsia" w:ascii="黑体" w:hAnsi="黑体" w:eastAsia="黑体" w:cs="微软雅黑"/>
          <w:b/>
          <w:bCs/>
          <w:color w:val="000000"/>
          <w:sz w:val="32"/>
          <w:szCs w:val="32"/>
        </w:rPr>
      </w:pPr>
      <w:r>
        <w:rPr>
          <w:rFonts w:hint="eastAsia" w:ascii="黑体" w:hAnsi="黑体" w:eastAsia="黑体" w:cs="微软雅黑"/>
          <w:b/>
          <w:bCs/>
          <w:color w:val="000000"/>
          <w:sz w:val="32"/>
          <w:szCs w:val="32"/>
        </w:rPr>
        <w:t>上海国家会计学院</w:t>
      </w:r>
    </w:p>
    <w:p>
      <w:pPr>
        <w:widowControl/>
        <w:tabs>
          <w:tab w:val="center" w:pos="4766"/>
          <w:tab w:val="left" w:pos="6716"/>
        </w:tabs>
        <w:spacing w:line="500" w:lineRule="exact"/>
        <w:jc w:val="center"/>
        <w:rPr>
          <w:rFonts w:hint="eastAsia" w:ascii="黑体" w:hAnsi="黑体" w:eastAsia="黑体" w:cs="微软雅黑"/>
          <w:b/>
          <w:bCs/>
          <w:color w:val="000000"/>
          <w:sz w:val="32"/>
          <w:szCs w:val="32"/>
        </w:rPr>
      </w:pPr>
      <w:bookmarkStart w:id="6" w:name="_Hlk60931668"/>
      <w:r>
        <w:rPr>
          <w:rFonts w:hint="eastAsia" w:ascii="黑体" w:hAnsi="黑体" w:eastAsia="黑体" w:cs="微软雅黑"/>
          <w:b/>
          <w:bCs/>
          <w:color w:val="000000"/>
          <w:sz w:val="32"/>
          <w:szCs w:val="32"/>
        </w:rPr>
        <w:t>“数据资产估值研修班”报名回执表</w:t>
      </w:r>
    </w:p>
    <w:tbl>
      <w:tblPr>
        <w:tblStyle w:val="6"/>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bookmarkEnd w:id="6"/>
    </w:tbl>
    <w:p>
      <w:pPr>
        <w:widowControl/>
        <w:tabs>
          <w:tab w:val="center" w:pos="4766"/>
          <w:tab w:val="left" w:pos="6716"/>
        </w:tabs>
        <w:spacing w:line="500" w:lineRule="exact"/>
        <w:rPr>
          <w:rFonts w:hint="eastAsia" w:ascii="宋体" w:hAnsi="宋体" w:cs="微软雅黑"/>
          <w:b/>
          <w:bCs/>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aiti SC">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EE98A"/>
    <w:multiLevelType w:val="singleLevel"/>
    <w:tmpl w:val="9CBEE98A"/>
    <w:lvl w:ilvl="0" w:tentative="0">
      <w:start w:val="1"/>
      <w:numFmt w:val="chineseCounting"/>
      <w:suff w:val="nothing"/>
      <w:lvlText w:val="（%1）"/>
      <w:lvlJc w:val="left"/>
      <w:rPr>
        <w:rFonts w:hint="eastAsia"/>
      </w:rPr>
    </w:lvl>
  </w:abstractNum>
  <w:abstractNum w:abstractNumId="1">
    <w:nsid w:val="C4C25D6F"/>
    <w:multiLevelType w:val="singleLevel"/>
    <w:tmpl w:val="C4C25D6F"/>
    <w:lvl w:ilvl="0" w:tentative="0">
      <w:start w:val="1"/>
      <w:numFmt w:val="chineseCounting"/>
      <w:suff w:val="nothing"/>
      <w:lvlText w:val="（%1）"/>
      <w:lvlJc w:val="left"/>
      <w:rPr>
        <w:rFonts w:hint="eastAsia"/>
      </w:rPr>
    </w:lvl>
  </w:abstractNum>
  <w:abstractNum w:abstractNumId="2">
    <w:nsid w:val="DAA07F92"/>
    <w:multiLevelType w:val="singleLevel"/>
    <w:tmpl w:val="DAA07F92"/>
    <w:lvl w:ilvl="0" w:tentative="0">
      <w:start w:val="6"/>
      <w:numFmt w:val="chineseCounting"/>
      <w:suff w:val="nothing"/>
      <w:lvlText w:val="%1、"/>
      <w:lvlJc w:val="left"/>
      <w:rPr>
        <w:rFonts w:hint="eastAsia"/>
      </w:rPr>
    </w:lvl>
  </w:abstractNum>
  <w:abstractNum w:abstractNumId="3">
    <w:nsid w:val="DBE1CA6C"/>
    <w:multiLevelType w:val="singleLevel"/>
    <w:tmpl w:val="DBE1CA6C"/>
    <w:lvl w:ilvl="0" w:tentative="0">
      <w:start w:val="1"/>
      <w:numFmt w:val="decimal"/>
      <w:suff w:val="space"/>
      <w:lvlText w:val="%1."/>
      <w:lvlJc w:val="left"/>
    </w:lvl>
  </w:abstractNum>
  <w:abstractNum w:abstractNumId="4">
    <w:nsid w:val="732BBB2F"/>
    <w:multiLevelType w:val="singleLevel"/>
    <w:tmpl w:val="732BBB2F"/>
    <w:lvl w:ilvl="0" w:tentative="0">
      <w:start w:val="1"/>
      <w:numFmt w:val="chineseCounting"/>
      <w:suff w:val="nothing"/>
      <w:lvlText w:val="%1、"/>
      <w:lvlJc w:val="left"/>
      <w:rPr>
        <w:rFonts w:hint="eastAsia"/>
      </w:rPr>
    </w:lvl>
  </w:abstractNum>
  <w:abstractNum w:abstractNumId="5">
    <w:nsid w:val="7529E303"/>
    <w:multiLevelType w:val="singleLevel"/>
    <w:tmpl w:val="7529E303"/>
    <w:lvl w:ilvl="0" w:tentative="0">
      <w:start w:val="3"/>
      <w:numFmt w:val="decimal"/>
      <w:lvlText w:val="%1."/>
      <w:lvlJc w:val="left"/>
      <w:pPr>
        <w:tabs>
          <w:tab w:val="left" w:pos="312"/>
        </w:tabs>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ZDExZmIxNzA0YjNhYzI5NTRlYjJjYTFlNTE2ZGIifQ=="/>
  </w:docVars>
  <w:rsids>
    <w:rsidRoot w:val="006A3BBB"/>
    <w:rsid w:val="000078AD"/>
    <w:rsid w:val="00012DBE"/>
    <w:rsid w:val="00016CBF"/>
    <w:rsid w:val="00026861"/>
    <w:rsid w:val="00026EFE"/>
    <w:rsid w:val="00032971"/>
    <w:rsid w:val="00054496"/>
    <w:rsid w:val="00062B08"/>
    <w:rsid w:val="00074F9B"/>
    <w:rsid w:val="00082A1F"/>
    <w:rsid w:val="00083837"/>
    <w:rsid w:val="000A2717"/>
    <w:rsid w:val="000A5447"/>
    <w:rsid w:val="000E5DA8"/>
    <w:rsid w:val="000F12C8"/>
    <w:rsid w:val="000F5EB4"/>
    <w:rsid w:val="00115C74"/>
    <w:rsid w:val="00122CA5"/>
    <w:rsid w:val="00123559"/>
    <w:rsid w:val="0013737A"/>
    <w:rsid w:val="00145C9F"/>
    <w:rsid w:val="00147FDA"/>
    <w:rsid w:val="001631C9"/>
    <w:rsid w:val="00163984"/>
    <w:rsid w:val="00167EEA"/>
    <w:rsid w:val="00171B70"/>
    <w:rsid w:val="00180FD8"/>
    <w:rsid w:val="00181919"/>
    <w:rsid w:val="00196B0D"/>
    <w:rsid w:val="001B0919"/>
    <w:rsid w:val="001B38D1"/>
    <w:rsid w:val="001C181F"/>
    <w:rsid w:val="001C574C"/>
    <w:rsid w:val="001C7056"/>
    <w:rsid w:val="001D6092"/>
    <w:rsid w:val="001E36B9"/>
    <w:rsid w:val="001F1A1B"/>
    <w:rsid w:val="001F6F3F"/>
    <w:rsid w:val="002000E0"/>
    <w:rsid w:val="0020153A"/>
    <w:rsid w:val="00203677"/>
    <w:rsid w:val="0022621E"/>
    <w:rsid w:val="00236CD6"/>
    <w:rsid w:val="00246731"/>
    <w:rsid w:val="00252F17"/>
    <w:rsid w:val="002530AB"/>
    <w:rsid w:val="00261D75"/>
    <w:rsid w:val="00270913"/>
    <w:rsid w:val="00270BCF"/>
    <w:rsid w:val="00293993"/>
    <w:rsid w:val="002A4619"/>
    <w:rsid w:val="002A4DD5"/>
    <w:rsid w:val="002B5C43"/>
    <w:rsid w:val="002B751B"/>
    <w:rsid w:val="002D0D37"/>
    <w:rsid w:val="002D5B9D"/>
    <w:rsid w:val="002F0587"/>
    <w:rsid w:val="002F3AD9"/>
    <w:rsid w:val="00307A4C"/>
    <w:rsid w:val="00322980"/>
    <w:rsid w:val="00324CD8"/>
    <w:rsid w:val="003302EC"/>
    <w:rsid w:val="00331A18"/>
    <w:rsid w:val="00334963"/>
    <w:rsid w:val="003421E5"/>
    <w:rsid w:val="00342DA0"/>
    <w:rsid w:val="00354341"/>
    <w:rsid w:val="00362F51"/>
    <w:rsid w:val="00366E3C"/>
    <w:rsid w:val="00375347"/>
    <w:rsid w:val="003954B1"/>
    <w:rsid w:val="003A2479"/>
    <w:rsid w:val="003B0F00"/>
    <w:rsid w:val="003D1207"/>
    <w:rsid w:val="003D2FA0"/>
    <w:rsid w:val="003D381B"/>
    <w:rsid w:val="003E6974"/>
    <w:rsid w:val="003F12AC"/>
    <w:rsid w:val="00410152"/>
    <w:rsid w:val="00412DF7"/>
    <w:rsid w:val="00412F9B"/>
    <w:rsid w:val="00441A04"/>
    <w:rsid w:val="0045560A"/>
    <w:rsid w:val="00461F66"/>
    <w:rsid w:val="004A278F"/>
    <w:rsid w:val="004B2312"/>
    <w:rsid w:val="004B2B2B"/>
    <w:rsid w:val="004C3642"/>
    <w:rsid w:val="004C5D18"/>
    <w:rsid w:val="004C6799"/>
    <w:rsid w:val="004D3132"/>
    <w:rsid w:val="004D6035"/>
    <w:rsid w:val="004E22B1"/>
    <w:rsid w:val="004F1A48"/>
    <w:rsid w:val="005159DA"/>
    <w:rsid w:val="00520DB3"/>
    <w:rsid w:val="00530E81"/>
    <w:rsid w:val="00531C70"/>
    <w:rsid w:val="00532368"/>
    <w:rsid w:val="005478FE"/>
    <w:rsid w:val="0055472D"/>
    <w:rsid w:val="0057436F"/>
    <w:rsid w:val="00574713"/>
    <w:rsid w:val="005762DB"/>
    <w:rsid w:val="005869FA"/>
    <w:rsid w:val="0058720A"/>
    <w:rsid w:val="00590060"/>
    <w:rsid w:val="00591CF9"/>
    <w:rsid w:val="005A08C9"/>
    <w:rsid w:val="005A4521"/>
    <w:rsid w:val="005B2ACA"/>
    <w:rsid w:val="005D20FE"/>
    <w:rsid w:val="005D4EE6"/>
    <w:rsid w:val="005E1B49"/>
    <w:rsid w:val="005F29A0"/>
    <w:rsid w:val="005F36A8"/>
    <w:rsid w:val="005F3D99"/>
    <w:rsid w:val="00603C0F"/>
    <w:rsid w:val="006229B3"/>
    <w:rsid w:val="0063130E"/>
    <w:rsid w:val="00633EB8"/>
    <w:rsid w:val="006371B5"/>
    <w:rsid w:val="00647A99"/>
    <w:rsid w:val="006605F1"/>
    <w:rsid w:val="00665404"/>
    <w:rsid w:val="006763B1"/>
    <w:rsid w:val="0068437C"/>
    <w:rsid w:val="00695E77"/>
    <w:rsid w:val="006A3BBB"/>
    <w:rsid w:val="006B254D"/>
    <w:rsid w:val="006B442B"/>
    <w:rsid w:val="006B468D"/>
    <w:rsid w:val="006C586A"/>
    <w:rsid w:val="006D0F20"/>
    <w:rsid w:val="006E6908"/>
    <w:rsid w:val="006E7519"/>
    <w:rsid w:val="006F3474"/>
    <w:rsid w:val="00727752"/>
    <w:rsid w:val="00734780"/>
    <w:rsid w:val="007352BC"/>
    <w:rsid w:val="00736B2D"/>
    <w:rsid w:val="00740442"/>
    <w:rsid w:val="007521F1"/>
    <w:rsid w:val="00752C38"/>
    <w:rsid w:val="007546B6"/>
    <w:rsid w:val="0076570C"/>
    <w:rsid w:val="00773C68"/>
    <w:rsid w:val="0077417D"/>
    <w:rsid w:val="0078690C"/>
    <w:rsid w:val="007D34D0"/>
    <w:rsid w:val="007D777D"/>
    <w:rsid w:val="007E16AB"/>
    <w:rsid w:val="007E190B"/>
    <w:rsid w:val="007E26C5"/>
    <w:rsid w:val="00811E18"/>
    <w:rsid w:val="008131D8"/>
    <w:rsid w:val="00830E25"/>
    <w:rsid w:val="00834210"/>
    <w:rsid w:val="008410A9"/>
    <w:rsid w:val="00861214"/>
    <w:rsid w:val="00861A47"/>
    <w:rsid w:val="008656E5"/>
    <w:rsid w:val="00881A56"/>
    <w:rsid w:val="00886564"/>
    <w:rsid w:val="0089224D"/>
    <w:rsid w:val="008C5D58"/>
    <w:rsid w:val="008E0261"/>
    <w:rsid w:val="008E313E"/>
    <w:rsid w:val="008E5878"/>
    <w:rsid w:val="00900207"/>
    <w:rsid w:val="00903951"/>
    <w:rsid w:val="00907890"/>
    <w:rsid w:val="0091651C"/>
    <w:rsid w:val="00917DAA"/>
    <w:rsid w:val="009222C5"/>
    <w:rsid w:val="00924792"/>
    <w:rsid w:val="009270D1"/>
    <w:rsid w:val="0093222C"/>
    <w:rsid w:val="009561BB"/>
    <w:rsid w:val="00974FCC"/>
    <w:rsid w:val="009800D1"/>
    <w:rsid w:val="0099008B"/>
    <w:rsid w:val="00993D69"/>
    <w:rsid w:val="00997C21"/>
    <w:rsid w:val="009B0D2B"/>
    <w:rsid w:val="009C3924"/>
    <w:rsid w:val="009C4F9C"/>
    <w:rsid w:val="009D6ADD"/>
    <w:rsid w:val="009F115F"/>
    <w:rsid w:val="009F2E41"/>
    <w:rsid w:val="009F57FF"/>
    <w:rsid w:val="009F7410"/>
    <w:rsid w:val="00A061FA"/>
    <w:rsid w:val="00A12462"/>
    <w:rsid w:val="00A1366D"/>
    <w:rsid w:val="00A15B22"/>
    <w:rsid w:val="00A415CB"/>
    <w:rsid w:val="00A45ECB"/>
    <w:rsid w:val="00A47D29"/>
    <w:rsid w:val="00A52110"/>
    <w:rsid w:val="00A5429A"/>
    <w:rsid w:val="00A634C3"/>
    <w:rsid w:val="00A63850"/>
    <w:rsid w:val="00A718CC"/>
    <w:rsid w:val="00A7343E"/>
    <w:rsid w:val="00A81ED7"/>
    <w:rsid w:val="00A83E4E"/>
    <w:rsid w:val="00A84BDF"/>
    <w:rsid w:val="00A8607B"/>
    <w:rsid w:val="00A93C78"/>
    <w:rsid w:val="00AB64AD"/>
    <w:rsid w:val="00AC7C6D"/>
    <w:rsid w:val="00AE4C08"/>
    <w:rsid w:val="00B013F6"/>
    <w:rsid w:val="00B13D17"/>
    <w:rsid w:val="00B238D7"/>
    <w:rsid w:val="00B368AC"/>
    <w:rsid w:val="00B431C2"/>
    <w:rsid w:val="00B65051"/>
    <w:rsid w:val="00B85024"/>
    <w:rsid w:val="00B93297"/>
    <w:rsid w:val="00B96C08"/>
    <w:rsid w:val="00BD31A4"/>
    <w:rsid w:val="00C00DAF"/>
    <w:rsid w:val="00C16D4E"/>
    <w:rsid w:val="00C63A80"/>
    <w:rsid w:val="00C64F4E"/>
    <w:rsid w:val="00C70979"/>
    <w:rsid w:val="00C77268"/>
    <w:rsid w:val="00C80761"/>
    <w:rsid w:val="00C874C7"/>
    <w:rsid w:val="00C9487F"/>
    <w:rsid w:val="00C96988"/>
    <w:rsid w:val="00CB02D0"/>
    <w:rsid w:val="00CB217A"/>
    <w:rsid w:val="00CB6710"/>
    <w:rsid w:val="00CE4D10"/>
    <w:rsid w:val="00D11D3E"/>
    <w:rsid w:val="00D323AE"/>
    <w:rsid w:val="00D32B9C"/>
    <w:rsid w:val="00D50274"/>
    <w:rsid w:val="00D53BBC"/>
    <w:rsid w:val="00D55EDB"/>
    <w:rsid w:val="00DA2F1D"/>
    <w:rsid w:val="00DB068A"/>
    <w:rsid w:val="00DB1407"/>
    <w:rsid w:val="00DB4C82"/>
    <w:rsid w:val="00DB5E8F"/>
    <w:rsid w:val="00DC0FD6"/>
    <w:rsid w:val="00DD2171"/>
    <w:rsid w:val="00DE02FA"/>
    <w:rsid w:val="00DE1E55"/>
    <w:rsid w:val="00DE3333"/>
    <w:rsid w:val="00DE5543"/>
    <w:rsid w:val="00DE62D2"/>
    <w:rsid w:val="00DF5DB6"/>
    <w:rsid w:val="00E03EBD"/>
    <w:rsid w:val="00E11EBE"/>
    <w:rsid w:val="00E30ADA"/>
    <w:rsid w:val="00E50C67"/>
    <w:rsid w:val="00E57707"/>
    <w:rsid w:val="00E60E21"/>
    <w:rsid w:val="00E676C8"/>
    <w:rsid w:val="00E867AA"/>
    <w:rsid w:val="00EA07A7"/>
    <w:rsid w:val="00EA138F"/>
    <w:rsid w:val="00EA1905"/>
    <w:rsid w:val="00EA3787"/>
    <w:rsid w:val="00EB0E0D"/>
    <w:rsid w:val="00EB7F93"/>
    <w:rsid w:val="00EC1489"/>
    <w:rsid w:val="00EE0872"/>
    <w:rsid w:val="00EE281A"/>
    <w:rsid w:val="00F0064E"/>
    <w:rsid w:val="00F05F4B"/>
    <w:rsid w:val="00F16839"/>
    <w:rsid w:val="00F16F3D"/>
    <w:rsid w:val="00F21E54"/>
    <w:rsid w:val="00F23F85"/>
    <w:rsid w:val="00F34862"/>
    <w:rsid w:val="00F51A17"/>
    <w:rsid w:val="00F5419E"/>
    <w:rsid w:val="00F61ECE"/>
    <w:rsid w:val="00F62DC7"/>
    <w:rsid w:val="00F721A5"/>
    <w:rsid w:val="00F7597C"/>
    <w:rsid w:val="00F75A96"/>
    <w:rsid w:val="00F760E3"/>
    <w:rsid w:val="00F8178D"/>
    <w:rsid w:val="00F94EF0"/>
    <w:rsid w:val="00FA3FA5"/>
    <w:rsid w:val="00FD04D8"/>
    <w:rsid w:val="00FD4CC0"/>
    <w:rsid w:val="00FE0753"/>
    <w:rsid w:val="00FE2807"/>
    <w:rsid w:val="00FE46B4"/>
    <w:rsid w:val="00FE46ED"/>
    <w:rsid w:val="19D049AD"/>
    <w:rsid w:val="283F4933"/>
    <w:rsid w:val="28E81095"/>
    <w:rsid w:val="322F1E23"/>
    <w:rsid w:val="3989118C"/>
    <w:rsid w:val="3A96472B"/>
    <w:rsid w:val="435428EC"/>
    <w:rsid w:val="482A042D"/>
    <w:rsid w:val="499C7517"/>
    <w:rsid w:val="49C77727"/>
    <w:rsid w:val="4BE013D0"/>
    <w:rsid w:val="4E8A2746"/>
    <w:rsid w:val="5742476D"/>
    <w:rsid w:val="5A374819"/>
    <w:rsid w:val="5BE6131D"/>
    <w:rsid w:val="5E6E6090"/>
    <w:rsid w:val="649258F8"/>
    <w:rsid w:val="6C704D3E"/>
    <w:rsid w:val="6CBC1216"/>
    <w:rsid w:val="709138AF"/>
    <w:rsid w:val="77183E74"/>
    <w:rsid w:val="77457347"/>
    <w:rsid w:val="78CF3338"/>
    <w:rsid w:val="7F5B776F"/>
    <w:rsid w:val="E7EBB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unhideWhenUsed/>
    <w:qFormat/>
    <w:uiPriority w:val="99"/>
    <w:rPr>
      <w:color w:val="0563C1"/>
      <w:u w:val="single"/>
    </w:r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2">
    <w:name w:val="页眉 字符"/>
    <w:link w:val="4"/>
    <w:qFormat/>
    <w:uiPriority w:val="0"/>
    <w:rPr>
      <w:kern w:val="2"/>
      <w:sz w:val="18"/>
      <w:szCs w:val="18"/>
    </w:rPr>
  </w:style>
  <w:style w:type="character" w:customStyle="1" w:styleId="13">
    <w:name w:val="页脚 字符"/>
    <w:link w:val="3"/>
    <w:qFormat/>
    <w:uiPriority w:val="0"/>
    <w:rPr>
      <w:kern w:val="2"/>
      <w:sz w:val="18"/>
      <w:szCs w:val="18"/>
    </w:rPr>
  </w:style>
  <w:style w:type="paragraph" w:customStyle="1" w:styleId="14">
    <w:name w:val="修订1"/>
    <w:hidden/>
    <w:unhideWhenUsed/>
    <w:qFormat/>
    <w:uiPriority w:val="99"/>
    <w:rPr>
      <w:rFonts w:ascii="Calibri" w:hAnsi="Calibri" w:eastAsia="宋体" w:cs="Times New Roman"/>
      <w:kern w:val="2"/>
      <w:sz w:val="21"/>
      <w:szCs w:val="22"/>
      <w:lang w:val="en-US" w:eastAsia="zh-CN" w:bidi="ar-SA"/>
    </w:rPr>
  </w:style>
  <w:style w:type="character" w:customStyle="1" w:styleId="15">
    <w:name w:val="日期 字符"/>
    <w:basedOn w:val="8"/>
    <w:link w:val="2"/>
    <w:qFormat/>
    <w:uiPriority w:val="0"/>
    <w:rPr>
      <w:kern w:val="2"/>
      <w:sz w:val="21"/>
      <w:szCs w:val="22"/>
    </w:rPr>
  </w:style>
  <w:style w:type="paragraph" w:styleId="16">
    <w:name w:val="List Paragraph"/>
    <w:basedOn w:val="1"/>
    <w:qFormat/>
    <w:uiPriority w:val="34"/>
    <w:pPr>
      <w:ind w:left="720"/>
      <w:contextualSpacing/>
    </w:pPr>
  </w:style>
  <w:style w:type="paragraph" w:customStyle="1" w:styleId="17">
    <w:name w:val="修订2"/>
    <w:hidden/>
    <w:unhideWhenUsed/>
    <w:qFormat/>
    <w:uiPriority w:val="99"/>
    <w:rPr>
      <w:rFonts w:ascii="Calibri" w:hAnsi="Calibri" w:eastAsia="宋体" w:cs="Times New Roman"/>
      <w:kern w:val="2"/>
      <w:sz w:val="21"/>
      <w:szCs w:val="22"/>
      <w:lang w:val="en-US" w:eastAsia="zh-CN" w:bidi="ar-SA"/>
    </w:rPr>
  </w:style>
  <w:style w:type="paragraph" w:customStyle="1" w:styleId="18">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1831</Words>
  <Characters>1941</Characters>
  <Lines>15</Lines>
  <Paragraphs>4</Paragraphs>
  <TotalTime>8</TotalTime>
  <ScaleCrop>false</ScaleCrop>
  <LinksUpToDate>false</LinksUpToDate>
  <CharactersWithSpaces>1952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2025-02-26T09:03:00Z</dcterms:created>
  <dc:creator>Administrator</dc:creator>
  <cp:lastModifiedBy>Daydream</cp:lastModifiedBy>
  <dcterms:modified xsi:type="dcterms:W3CDTF">2025-04-29T15:06:41Z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FF8278CE576D49A1B44C216FFAA034C7_13</vt:lpwstr>
  </property>
</Properties>
</file>