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9F368">
      <w:pPr>
        <w:spacing w:before="624" w:beforeLines="200"/>
        <w:jc w:val="center"/>
        <w:rPr>
          <w:rFonts w:hint="eastAsia" w:ascii="华文仿宋" w:hAnsi="华文仿宋" w:eastAsia="华文仿宋" w:cs="华文仿宋"/>
          <w:b/>
          <w:bCs/>
          <w:color w:val="FF3300"/>
          <w:sz w:val="84"/>
          <w:szCs w:val="84"/>
          <w:lang w:eastAsia="zh-CN"/>
        </w:rPr>
      </w:pPr>
      <w:r>
        <w:rPr>
          <w:rFonts w:hint="eastAsia" w:ascii="华文仿宋" w:hAnsi="华文仿宋" w:eastAsia="华文仿宋" w:cs="华文仿宋"/>
          <w:b/>
          <w:bCs/>
          <w:color w:val="FF3300"/>
          <w:sz w:val="84"/>
          <w:szCs w:val="84"/>
          <w:lang w:eastAsia="zh-CN"/>
        </w:rPr>
        <w:t>上海国家会计学院</w:t>
      </w:r>
    </w:p>
    <w:p w14:paraId="36DB93DB">
      <w:pPr>
        <w:jc w:val="center"/>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lang w:eastAsia="zh-CN"/>
        </w:rPr>
        <w:t>上国会培〔2025〕101号</w:t>
      </w:r>
    </w:p>
    <w:p w14:paraId="20C3FF71">
      <w:pPr>
        <w:spacing w:after="156" w:afterLines="50"/>
        <w:jc w:val="center"/>
        <w:rPr>
          <w:rFonts w:hint="eastAsia" w:ascii="华文仿宋" w:hAnsi="华文仿宋" w:eastAsia="华文仿宋" w:cs="华文仿宋"/>
          <w:b/>
          <w:bCs/>
          <w:sz w:val="18"/>
          <w:szCs w:val="18"/>
          <w:lang w:eastAsia="zh-CN"/>
        </w:rPr>
      </w:pPr>
      <w:r>
        <w:rPr>
          <w:rFonts w:hint="eastAsia" w:ascii="华文仿宋" w:hAnsi="华文仿宋" w:eastAsia="华文仿宋" w:cs="华文仿宋"/>
          <w:b/>
          <w:sz w:val="36"/>
          <w:szCs w:val="36"/>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91440</wp:posOffset>
                </wp:positionV>
                <wp:extent cx="5257800" cy="5715"/>
                <wp:effectExtent l="0" t="0" r="19050" b="3302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257800" cy="5398"/>
                        </a:xfrm>
                        <a:prstGeom prst="line">
                          <a:avLst/>
                        </a:prstGeom>
                        <a:noFill/>
                        <a:ln w="25400">
                          <a:solidFill>
                            <a:srgbClr val="FF0000"/>
                          </a:solidFill>
                          <a:round/>
                        </a:ln>
                      </wps:spPr>
                      <wps:bodyPr/>
                    </wps:wsp>
                  </a:graphicData>
                </a:graphic>
              </wp:anchor>
            </w:drawing>
          </mc:Choice>
          <mc:Fallback>
            <w:pict>
              <v:line id="_x0000_s1026" o:spid="_x0000_s1026" o:spt="20" style="position:absolute;left:0pt;margin-left:-0.2pt;margin-top:7.2pt;height:0.45pt;width:414pt;mso-position-horizontal-relative:margin;z-index:251659264;mso-width-relative:page;mso-height-relative:page;" filled="f" stroked="t" coordsize="21600,21600" o:gfxdata="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OVAfdUA&#10;AAAHAQAADwAAAAAAAAABACAAAAAiAAAAZHJzL2Rvd25yZXYueG1sUEsBAhQAFAAAAAgAh07iQNEY&#10;03PpAQAArgMAAA4AAAAAAAAAAQAgAAAAJAEAAGRycy9lMm9Eb2MueG1sUEsFBgAAAAAGAAYAWQEA&#10;AH8FAAAAAA==&#10;">
                <v:fill on="f" focussize="0,0"/>
                <v:stroke weight="2pt" color="#FF0000" joinstyle="round"/>
                <v:imagedata o:title=""/>
                <o:lock v:ext="edit" aspectratio="f"/>
              </v:line>
            </w:pict>
          </mc:Fallback>
        </mc:AlternateContent>
      </w:r>
    </w:p>
    <w:p w14:paraId="5323895F">
      <w:pPr>
        <w:spacing w:before="312" w:beforeLines="100" w:after="312" w:afterLines="100"/>
        <w:jc w:val="center"/>
        <w:rPr>
          <w:rFonts w:hint="eastAsia" w:ascii="华文中宋" w:hAnsi="华文中宋" w:eastAsia="华文中宋" w:cs="Times New Roman"/>
          <w:b/>
          <w:bCs/>
          <w:sz w:val="36"/>
          <w:szCs w:val="36"/>
          <w:lang w:eastAsia="zh-CN"/>
        </w:rPr>
      </w:pPr>
      <w:r>
        <w:rPr>
          <w:rFonts w:hint="eastAsia" w:ascii="华文中宋" w:hAnsi="华文中宋" w:eastAsia="华文中宋" w:cs="Times New Roman"/>
          <w:b/>
          <w:bCs/>
          <w:sz w:val="36"/>
          <w:szCs w:val="36"/>
          <w:lang w:eastAsia="zh-CN"/>
        </w:rPr>
        <w:t>关于举办“公立医院财务管理与高质量发展”案例教学系列项目（总第20期）——温州医科大学附属第二医院“强内控、精管理”助力医院治理效能提升专题研修班（第1期）及跟岗培训的通知</w:t>
      </w:r>
    </w:p>
    <w:p w14:paraId="0EE5360D">
      <w:pPr>
        <w:spacing w:line="360" w:lineRule="auto"/>
        <w:ind w:firstLine="656" w:firstLineChars="200"/>
        <w:rPr>
          <w:rFonts w:hint="eastAsia" w:ascii="仿宋_GB2312" w:hAnsi="仿宋" w:eastAsia="仿宋_GB2312" w:cs="仿宋"/>
          <w:spacing w:val="4"/>
          <w:sz w:val="32"/>
          <w:szCs w:val="32"/>
          <w:lang w:eastAsia="zh-CN"/>
        </w:rPr>
      </w:pPr>
      <w:r>
        <w:rPr>
          <w:rFonts w:hint="eastAsia" w:ascii="仿宋_GB2312" w:hAnsi="仿宋" w:eastAsia="仿宋_GB2312" w:cs="仿宋"/>
          <w:spacing w:val="4"/>
          <w:sz w:val="32"/>
          <w:szCs w:val="32"/>
          <w:lang w:eastAsia="zh-CN"/>
        </w:rPr>
        <w:t>财会监督是党和国家监督体系的重要组成部分，内部控制建设是加强财会监督的重要手段。为贯彻落实中央办公厅、国务院办公厅印发的《关于进一步加强财会监督工作的意见》有关要求，推动公立医院进一步加强内部控制建设，财政部、国家卫生健康委、国家医保局、国家中医药局等4部门印发《关于进一步加强公立医院内部控制建设的指导意见》，引导和督促公立医院到2025年底，建立健全权责清晰、制衡有力、运行有效、监督到位的内部控制体系，强化财经纪律刚性约束，合理保证公立医院经济活动及相关业务活动合法合规、资产安全和使用有效、财务信息真实完整，有效防范舞弊和预防腐败，提高资源配置和使用效益。</w:t>
      </w:r>
    </w:p>
    <w:p w14:paraId="26A845E4">
      <w:pPr>
        <w:spacing w:line="360" w:lineRule="auto"/>
        <w:ind w:firstLine="656" w:firstLineChars="200"/>
        <w:rPr>
          <w:rFonts w:hint="eastAsia" w:ascii="仿宋_GB2312" w:hAnsi="仿宋" w:eastAsia="仿宋_GB2312" w:cs="仿宋"/>
          <w:spacing w:val="4"/>
          <w:sz w:val="32"/>
          <w:szCs w:val="32"/>
          <w:lang w:eastAsia="zh-CN"/>
        </w:rPr>
      </w:pPr>
      <w:r>
        <w:rPr>
          <w:rFonts w:hint="eastAsia" w:ascii="仿宋_GB2312" w:hAnsi="仿宋" w:eastAsia="仿宋_GB2312" w:cs="仿宋"/>
          <w:spacing w:val="4"/>
          <w:sz w:val="32"/>
          <w:szCs w:val="32"/>
          <w:lang w:eastAsia="zh-CN"/>
        </w:rPr>
        <w:t>在公立医院迈入崭新发展阶段的背景下，温州医科大学附属第二医院（以下简称“温医二院”）秉持理论与实践并重的双重导向，积极探索公立医院内部控制体系建设的科学航道、可行策略及未来走向，不断优化内部治理结构，强化公共服务效能，推动高质量发展的持续迈进。</w:t>
      </w:r>
    </w:p>
    <w:p w14:paraId="70AAF4BA">
      <w:pPr>
        <w:spacing w:line="360" w:lineRule="auto"/>
        <w:ind w:firstLine="640" w:firstLineChars="200"/>
        <w:rPr>
          <w:rFonts w:hint="eastAsia" w:ascii="仿宋_GB2312" w:hAnsi="Songti SC" w:eastAsia="仿宋_GB2312" w:cs="Times New Roman"/>
          <w:sz w:val="32"/>
          <w:szCs w:val="32"/>
          <w:lang w:eastAsia="zh-CN"/>
        </w:rPr>
      </w:pPr>
      <w:r>
        <w:rPr>
          <w:rFonts w:hint="eastAsia" w:ascii="仿宋_GB2312" w:hAnsi="Songti SC" w:eastAsia="仿宋_GB2312" w:cs="Times New Roman"/>
          <w:sz w:val="32"/>
          <w:szCs w:val="32"/>
          <w:lang w:eastAsia="zh-CN"/>
        </w:rPr>
        <w:t>上海国家会计学院作为财政部直属的事业单位，常年坚持高层次、应用型的办学理念，通过对高水平财会人员的培养，积极服务财政中心工作，服务于现代化经济建设</w:t>
      </w:r>
      <w:r>
        <w:rPr>
          <w:rFonts w:hint="eastAsia" w:ascii="仿宋_GB2312" w:hAnsi="宋体" w:eastAsia="仿宋_GB2312" w:cs="宋体"/>
          <w:color w:val="555555"/>
          <w:sz w:val="32"/>
          <w:szCs w:val="32"/>
          <w:lang w:eastAsia="zh-CN"/>
        </w:rPr>
        <w:t>。</w:t>
      </w:r>
      <w:r>
        <w:rPr>
          <w:rFonts w:hint="eastAsia" w:ascii="仿宋_GB2312" w:hAnsi="Songti SC" w:eastAsia="仿宋_GB2312" w:cs="Times New Roman"/>
          <w:sz w:val="32"/>
          <w:szCs w:val="32"/>
          <w:lang w:eastAsia="zh-CN"/>
        </w:rPr>
        <w:t>为推动公立医院财务管理创新实践的经验分享，充分发挥溢出效应，上海国家会计学院以“国内公立医院的财务管理创新实践”为主要内容推出案例教学系列课程。自2022年4月以来，上海国家会计学院发挥资源优势，先后联合了上海交通大学医学院附属新华医院、中国科学技术大学附属第一医院（安徽省立医院）、上海交通大学医学院附属瑞金医院、复旦大学附属华山医院、江苏省人民医院、浙江大学医学院附属邵逸夫医院、北京大学第三医院、复旦大学附属妇产科医院举办了19期以“公立医院财务管理与高质量发展”为主题的案例培训，学习标杆医院管理模式，累计来自全国各地共超过2500多名医院中高层管理者报名参加，标杆医院案例实践经验分享，具有实务指导性和参考性，项目自开展以来，市场评价高，广受学员好评。</w:t>
      </w:r>
    </w:p>
    <w:p w14:paraId="4A08DF54">
      <w:pPr>
        <w:spacing w:line="360" w:lineRule="auto"/>
        <w:rPr>
          <w:rFonts w:hint="eastAsia" w:ascii="仿宋_GB2312" w:hAnsi="华文中宋" w:eastAsia="仿宋_GB2312" w:cs="Times New Roman"/>
          <w:b/>
          <w:bCs/>
          <w:sz w:val="32"/>
          <w:szCs w:val="32"/>
          <w:lang w:eastAsia="zh-CN"/>
        </w:rPr>
      </w:pPr>
      <w:r>
        <w:rPr>
          <w:rFonts w:hint="eastAsia" w:ascii="仿宋_GB2312" w:hAnsi="仿宋" w:eastAsia="仿宋_GB2312" w:cs="仿宋"/>
          <w:spacing w:val="4"/>
          <w:sz w:val="32"/>
          <w:szCs w:val="32"/>
          <w:lang w:eastAsia="zh-CN"/>
        </w:rPr>
        <w:t xml:space="preserve">    结合最新的医院内部控制管理实践成果，上海国家会计学院联合温医二院计划于2025年3月26日-28日推出举办</w:t>
      </w:r>
      <w:r>
        <w:rPr>
          <w:rFonts w:hint="eastAsia" w:ascii="仿宋_GB2312" w:hAnsi="仿宋" w:eastAsia="仿宋_GB2312" w:cs="仿宋"/>
          <w:b/>
          <w:bCs/>
          <w:spacing w:val="4"/>
          <w:sz w:val="32"/>
          <w:szCs w:val="32"/>
          <w:lang w:eastAsia="zh-CN"/>
        </w:rPr>
        <w:t>“公立医院财务管理与高质量发展”案例教学系列项目（总第20期）——温州医科大学附属第二医院“强内控、精管理”助力医院治理效能提升（第1期）</w:t>
      </w:r>
      <w:r>
        <w:rPr>
          <w:rFonts w:hint="eastAsia" w:ascii="仿宋_GB2312" w:hAnsi="仿宋" w:eastAsia="仿宋_GB2312" w:cs="仿宋"/>
          <w:spacing w:val="4"/>
          <w:sz w:val="32"/>
          <w:szCs w:val="32"/>
          <w:lang w:eastAsia="zh-CN"/>
        </w:rPr>
        <w:t>，并于3月28日下午开展跟岗培训。</w:t>
      </w:r>
    </w:p>
    <w:p w14:paraId="516C7035">
      <w:pPr>
        <w:spacing w:line="360" w:lineRule="auto"/>
        <w:ind w:firstLine="656" w:firstLineChars="200"/>
        <w:rPr>
          <w:rFonts w:hint="eastAsia" w:ascii="仿宋_GB2312" w:hAnsi="仿宋" w:eastAsia="仿宋_GB2312" w:cs="仿宋"/>
          <w:spacing w:val="4"/>
          <w:sz w:val="32"/>
          <w:szCs w:val="32"/>
          <w:lang w:eastAsia="zh-CN"/>
        </w:rPr>
      </w:pPr>
      <w:r>
        <w:rPr>
          <w:rFonts w:hint="eastAsia" w:ascii="仿宋_GB2312" w:hAnsi="仿宋" w:eastAsia="仿宋_GB2312" w:cs="仿宋"/>
          <w:spacing w:val="4"/>
          <w:sz w:val="32"/>
          <w:szCs w:val="32"/>
          <w:lang w:eastAsia="zh-CN"/>
        </w:rPr>
        <w:t>温医二院的案例课程体系完善，内容丰富，聚焦于医院内部管理体系的强化，旨在提升医院的标准化及科学化管理层次。本次课程内容包括基于标准建设内控体系的方法论介绍，以及内部控制在预算管理、建设项目规划、医疗服务价格调控、资产管理、耗材管理、采购流程、医教研融合、信息化管理等关键领域的创新应用。所有课程均以生动的案例形式展现，深度剖析了从理论到实践、从规划到实施的“强内控 精管理”内控体系建设及实操流程，为公立医院“破局”提供了全新思路，助力公立医院高质量发展和提升。</w:t>
      </w:r>
    </w:p>
    <w:p w14:paraId="48198129">
      <w:pPr>
        <w:spacing w:line="360" w:lineRule="auto"/>
        <w:ind w:firstLine="656" w:firstLineChars="200"/>
        <w:rPr>
          <w:rFonts w:hint="eastAsia" w:ascii="仿宋_GB2312" w:hAnsi="仿宋" w:eastAsia="仿宋_GB2312" w:cs="仿宋"/>
          <w:spacing w:val="4"/>
          <w:sz w:val="32"/>
          <w:szCs w:val="32"/>
          <w:lang w:eastAsia="zh-CN"/>
        </w:rPr>
      </w:pPr>
      <w:r>
        <w:rPr>
          <w:rFonts w:hint="eastAsia" w:ascii="仿宋_GB2312" w:hAnsi="仿宋" w:eastAsia="仿宋_GB2312" w:cs="仿宋"/>
          <w:spacing w:val="4"/>
          <w:sz w:val="32"/>
          <w:szCs w:val="32"/>
          <w:lang w:eastAsia="zh-CN"/>
        </w:rPr>
        <w:t>欢迎医疗行业各界人士咨询报名。</w:t>
      </w:r>
    </w:p>
    <w:p w14:paraId="157CEEEB">
      <w:pPr>
        <w:pStyle w:val="2"/>
        <w:spacing w:line="360" w:lineRule="auto"/>
        <w:ind w:firstLine="643"/>
        <w:rPr>
          <w:rFonts w:hint="eastAsia" w:ascii="黑体" w:hAnsi="黑体" w:eastAsia="黑体" w:cs="黑体"/>
          <w:sz w:val="32"/>
        </w:rPr>
      </w:pPr>
      <w:r>
        <w:rPr>
          <w:rFonts w:hint="eastAsia" w:ascii="黑体" w:hAnsi="黑体" w:eastAsia="黑体" w:cs="黑体"/>
          <w:sz w:val="32"/>
        </w:rPr>
        <w:t>一、培训时间、地点</w:t>
      </w:r>
    </w:p>
    <w:p w14:paraId="538CB075">
      <w:pPr>
        <w:spacing w:line="360" w:lineRule="auto"/>
        <w:ind w:firstLine="656" w:firstLineChars="200"/>
        <w:rPr>
          <w:rFonts w:hint="eastAsia" w:ascii="仿宋_GB2312" w:hAnsi="仿宋" w:eastAsia="仿宋_GB2312" w:cs="仿宋"/>
          <w:spacing w:val="4"/>
          <w:sz w:val="32"/>
          <w:szCs w:val="32"/>
          <w:lang w:eastAsia="zh-CN"/>
        </w:rPr>
      </w:pPr>
      <w:r>
        <w:rPr>
          <w:rFonts w:hint="eastAsia" w:ascii="仿宋_GB2312" w:hAnsi="仿宋" w:eastAsia="仿宋_GB2312" w:cs="仿宋"/>
          <w:spacing w:val="4"/>
          <w:sz w:val="32"/>
          <w:szCs w:val="32"/>
          <w:lang w:eastAsia="zh-CN"/>
        </w:rPr>
        <w:t>案例授课时间：2025年3月26日-28日上午。</w:t>
      </w:r>
    </w:p>
    <w:p w14:paraId="410A2988">
      <w:pPr>
        <w:spacing w:line="360" w:lineRule="auto"/>
        <w:ind w:firstLine="656" w:firstLineChars="200"/>
        <w:rPr>
          <w:rFonts w:hint="eastAsia" w:ascii="仿宋_GB2312" w:hAnsi="仿宋" w:eastAsia="仿宋_GB2312" w:cs="仿宋"/>
          <w:spacing w:val="4"/>
          <w:sz w:val="32"/>
          <w:szCs w:val="32"/>
          <w:lang w:eastAsia="zh-CN"/>
        </w:rPr>
      </w:pPr>
      <w:r>
        <w:rPr>
          <w:rFonts w:hint="eastAsia" w:ascii="仿宋_GB2312" w:hAnsi="仿宋" w:eastAsia="仿宋_GB2312" w:cs="仿宋"/>
          <w:spacing w:val="4"/>
          <w:sz w:val="32"/>
          <w:szCs w:val="32"/>
          <w:lang w:eastAsia="zh-CN"/>
        </w:rPr>
        <w:t>跟岗培训时间：3月28日下午，半天。</w:t>
      </w:r>
    </w:p>
    <w:p w14:paraId="7FCC04F4">
      <w:pPr>
        <w:spacing w:line="360" w:lineRule="auto"/>
        <w:ind w:firstLine="656" w:firstLineChars="200"/>
        <w:rPr>
          <w:rFonts w:hint="eastAsia" w:ascii="仿宋_GB2312" w:hAnsi="仿宋" w:eastAsia="仿宋_GB2312" w:cs="仿宋"/>
          <w:spacing w:val="4"/>
          <w:sz w:val="32"/>
          <w:szCs w:val="32"/>
          <w:lang w:eastAsia="zh-CN"/>
        </w:rPr>
      </w:pPr>
      <w:r>
        <w:rPr>
          <w:rFonts w:hint="eastAsia" w:ascii="仿宋_GB2312" w:hAnsi="仿宋" w:eastAsia="仿宋_GB2312" w:cs="仿宋"/>
          <w:spacing w:val="4"/>
          <w:sz w:val="32"/>
          <w:szCs w:val="32"/>
          <w:lang w:eastAsia="zh-CN"/>
        </w:rPr>
        <w:t>报到时间：3月25日，全天。</w:t>
      </w:r>
    </w:p>
    <w:p w14:paraId="74E66BDC">
      <w:pPr>
        <w:spacing w:line="360" w:lineRule="auto"/>
        <w:ind w:firstLine="656" w:firstLineChars="200"/>
        <w:rPr>
          <w:rFonts w:hint="eastAsia" w:ascii="仿宋_GB2312" w:hAnsi="仿宋" w:eastAsia="仿宋_GB2312" w:cs="仿宋"/>
          <w:spacing w:val="4"/>
          <w:sz w:val="32"/>
          <w:szCs w:val="32"/>
          <w:lang w:eastAsia="zh-CN"/>
        </w:rPr>
      </w:pPr>
      <w:r>
        <w:rPr>
          <w:rFonts w:hint="eastAsia" w:ascii="仿宋_GB2312" w:hAnsi="仿宋" w:eastAsia="仿宋_GB2312" w:cs="仿宋"/>
          <w:spacing w:val="4"/>
          <w:sz w:val="32"/>
          <w:szCs w:val="32"/>
          <w:lang w:eastAsia="zh-CN"/>
        </w:rPr>
        <w:t>返程时间：3月29日，全天。</w:t>
      </w:r>
    </w:p>
    <w:p w14:paraId="46C4C37E">
      <w:pPr>
        <w:spacing w:line="360" w:lineRule="auto"/>
        <w:ind w:firstLine="656" w:firstLineChars="200"/>
        <w:rPr>
          <w:rFonts w:hint="eastAsia" w:ascii="仿宋_GB2312" w:hAnsi="仿宋" w:eastAsia="仿宋_GB2312" w:cs="仿宋"/>
          <w:spacing w:val="4"/>
          <w:sz w:val="32"/>
          <w:szCs w:val="32"/>
          <w:lang w:eastAsia="zh-CN"/>
        </w:rPr>
      </w:pPr>
      <w:r>
        <w:rPr>
          <w:rFonts w:hint="eastAsia" w:ascii="仿宋_GB2312" w:hAnsi="仿宋" w:eastAsia="仿宋_GB2312" w:cs="仿宋"/>
          <w:spacing w:val="4"/>
          <w:sz w:val="32"/>
          <w:szCs w:val="32"/>
          <w:lang w:eastAsia="zh-CN"/>
        </w:rPr>
        <w:t>上课地点：温州医科大学附属第二医院龙湾院区</w:t>
      </w:r>
    </w:p>
    <w:p w14:paraId="058C9A42">
      <w:pPr>
        <w:spacing w:line="360" w:lineRule="auto"/>
        <w:ind w:firstLine="656" w:firstLineChars="200"/>
        <w:rPr>
          <w:rFonts w:hint="eastAsia" w:ascii="仿宋_GB2312" w:hAnsi="仿宋" w:eastAsia="仿宋_GB2312" w:cs="仿宋"/>
          <w:spacing w:val="4"/>
          <w:sz w:val="32"/>
          <w:szCs w:val="32"/>
          <w:lang w:eastAsia="zh-CN"/>
        </w:rPr>
      </w:pPr>
      <w:r>
        <w:rPr>
          <w:rFonts w:hint="eastAsia" w:ascii="仿宋_GB2312" w:hAnsi="仿宋" w:eastAsia="仿宋_GB2312" w:cs="仿宋"/>
          <w:spacing w:val="4"/>
          <w:sz w:val="32"/>
          <w:szCs w:val="32"/>
          <w:lang w:eastAsia="zh-CN"/>
        </w:rPr>
        <w:t>上课形式：线下授课，无线上直播。</w:t>
      </w:r>
    </w:p>
    <w:p w14:paraId="7E069583">
      <w:pPr>
        <w:spacing w:line="360" w:lineRule="auto"/>
        <w:ind w:firstLine="656" w:firstLineChars="200"/>
        <w:rPr>
          <w:rFonts w:hint="eastAsia" w:ascii="仿宋_GB2312" w:hAnsi="仿宋" w:eastAsia="仿宋_GB2312" w:cs="仿宋"/>
          <w:spacing w:val="4"/>
          <w:sz w:val="32"/>
          <w:szCs w:val="32"/>
          <w:lang w:eastAsia="zh-CN"/>
        </w:rPr>
      </w:pPr>
      <w:r>
        <w:rPr>
          <w:rFonts w:hint="eastAsia" w:ascii="仿宋_GB2312" w:hAnsi="仿宋" w:eastAsia="仿宋_GB2312" w:cs="仿宋"/>
          <w:spacing w:val="4"/>
          <w:sz w:val="32"/>
          <w:szCs w:val="32"/>
          <w:lang w:eastAsia="zh-CN"/>
        </w:rPr>
        <w:t>备注：</w:t>
      </w:r>
    </w:p>
    <w:p w14:paraId="5DA2C3FD">
      <w:pPr>
        <w:spacing w:line="360" w:lineRule="auto"/>
        <w:ind w:firstLine="656" w:firstLineChars="200"/>
        <w:rPr>
          <w:rFonts w:hint="eastAsia" w:ascii="仿宋_GB2312" w:hAnsi="仿宋" w:eastAsia="仿宋_GB2312" w:cs="仿宋"/>
          <w:spacing w:val="4"/>
          <w:sz w:val="32"/>
          <w:szCs w:val="32"/>
          <w:lang w:eastAsia="zh-CN"/>
        </w:rPr>
      </w:pPr>
      <w:r>
        <w:rPr>
          <w:rFonts w:hint="eastAsia" w:ascii="仿宋_GB2312" w:hAnsi="仿宋" w:eastAsia="仿宋_GB2312" w:cs="仿宋"/>
          <w:spacing w:val="4"/>
          <w:sz w:val="32"/>
          <w:szCs w:val="32"/>
          <w:lang w:eastAsia="zh-CN"/>
        </w:rPr>
        <w:t>1．为方便教学安排，学员住宿安排在医院周边酒店，食宿费按照酒店标准，据实结算开票，费用自理。</w:t>
      </w:r>
    </w:p>
    <w:p w14:paraId="4845B56C">
      <w:pPr>
        <w:spacing w:line="360" w:lineRule="auto"/>
        <w:ind w:firstLine="656" w:firstLineChars="200"/>
        <w:rPr>
          <w:rFonts w:ascii="仿宋_GB2312" w:eastAsia="仿宋_GB2312"/>
          <w:sz w:val="32"/>
          <w:szCs w:val="32"/>
          <w:lang w:eastAsia="zh-CN"/>
        </w:rPr>
      </w:pPr>
      <w:r>
        <w:rPr>
          <w:rFonts w:hint="eastAsia" w:ascii="仿宋_GB2312" w:hAnsi="仿宋" w:eastAsia="仿宋_GB2312" w:cs="仿宋"/>
          <w:spacing w:val="4"/>
          <w:sz w:val="32"/>
          <w:szCs w:val="32"/>
          <w:lang w:eastAsia="zh-CN"/>
        </w:rPr>
        <w:t>2．为保证岗位演示效果，跟岗培训限名额参训，最高参训人数为60人左右。</w:t>
      </w:r>
    </w:p>
    <w:p w14:paraId="354DDB62">
      <w:pPr>
        <w:pStyle w:val="2"/>
        <w:spacing w:before="156" w:beforeLines="50" w:after="156" w:afterLines="50" w:line="240" w:lineRule="auto"/>
        <w:ind w:firstLine="643"/>
        <w:rPr>
          <w:rFonts w:hint="eastAsia" w:ascii="黑体" w:hAnsi="黑体" w:eastAsia="黑体" w:cs="黑体"/>
          <w:sz w:val="32"/>
        </w:rPr>
      </w:pPr>
      <w:r>
        <w:rPr>
          <w:rFonts w:hint="eastAsia" w:ascii="黑体" w:hAnsi="黑体" w:eastAsia="黑体" w:cs="黑体"/>
          <w:sz w:val="32"/>
        </w:rPr>
        <w:t>二、培训对象</w:t>
      </w:r>
    </w:p>
    <w:p w14:paraId="06E60EB4">
      <w:pPr>
        <w:spacing w:line="360" w:lineRule="auto"/>
        <w:ind w:firstLine="656" w:firstLineChars="200"/>
        <w:rPr>
          <w:rFonts w:hint="eastAsia" w:ascii="仿宋_GB2312" w:hAnsi="仿宋" w:eastAsia="仿宋_GB2312" w:cs="仿宋"/>
          <w:spacing w:val="4"/>
          <w:sz w:val="32"/>
          <w:szCs w:val="32"/>
          <w:lang w:eastAsia="zh-CN"/>
        </w:rPr>
      </w:pPr>
      <w:r>
        <w:rPr>
          <w:rFonts w:hint="eastAsia" w:ascii="仿宋_GB2312" w:hAnsi="仿宋" w:eastAsia="仿宋_GB2312" w:cs="仿宋"/>
          <w:spacing w:val="4"/>
          <w:sz w:val="32"/>
          <w:szCs w:val="32"/>
          <w:lang w:eastAsia="zh-CN"/>
        </w:rPr>
        <w:t>1．各省、市卫健委（局）主管财会、审计的负责人或业务骨干；</w:t>
      </w:r>
    </w:p>
    <w:p w14:paraId="42CEC989">
      <w:pPr>
        <w:spacing w:line="360" w:lineRule="auto"/>
        <w:ind w:firstLine="656" w:firstLineChars="200"/>
        <w:rPr>
          <w:rFonts w:hint="eastAsia" w:ascii="仿宋_GB2312" w:hAnsi="仿宋" w:eastAsia="仿宋_GB2312" w:cs="仿宋"/>
          <w:spacing w:val="4"/>
          <w:sz w:val="32"/>
          <w:szCs w:val="32"/>
          <w:lang w:eastAsia="zh-CN"/>
        </w:rPr>
      </w:pPr>
      <w:r>
        <w:rPr>
          <w:rFonts w:hint="eastAsia" w:ascii="仿宋_GB2312" w:hAnsi="仿宋" w:eastAsia="仿宋_GB2312" w:cs="仿宋"/>
          <w:spacing w:val="4"/>
          <w:sz w:val="32"/>
          <w:szCs w:val="32"/>
          <w:lang w:eastAsia="zh-CN"/>
        </w:rPr>
        <w:t>2．全国各医院书记、院长、分管财务副院长、总会计师、总审计师；</w:t>
      </w:r>
    </w:p>
    <w:p w14:paraId="121664D0">
      <w:pPr>
        <w:spacing w:line="360" w:lineRule="auto"/>
        <w:ind w:firstLine="656" w:firstLineChars="200"/>
        <w:rPr>
          <w:rFonts w:hint="eastAsia" w:ascii="仿宋_GB2312" w:hAnsi="仿宋" w:eastAsia="仿宋_GB2312" w:cs="仿宋"/>
          <w:spacing w:val="4"/>
          <w:sz w:val="32"/>
          <w:szCs w:val="32"/>
          <w:lang w:eastAsia="zh-CN"/>
        </w:rPr>
      </w:pPr>
      <w:r>
        <w:rPr>
          <w:rFonts w:hint="eastAsia" w:ascii="仿宋_GB2312" w:hAnsi="仿宋" w:eastAsia="仿宋_GB2312" w:cs="仿宋"/>
          <w:spacing w:val="4"/>
          <w:sz w:val="32"/>
          <w:szCs w:val="32"/>
          <w:lang w:eastAsia="zh-CN"/>
        </w:rPr>
        <w:t>3．全国各医院财务、运营、经管、绩效、成本核算、内控、审计、物价、医保、收费、信息、资产、后勤保障、科研、教学等职能部门负责人与业务骨干；</w:t>
      </w:r>
    </w:p>
    <w:p w14:paraId="00264374">
      <w:pPr>
        <w:spacing w:line="360" w:lineRule="auto"/>
        <w:ind w:firstLine="656" w:firstLineChars="200"/>
        <w:rPr>
          <w:rFonts w:hint="eastAsia" w:ascii="仿宋_GB2312" w:hAnsi="仿宋" w:eastAsia="仿宋_GB2312" w:cs="仿宋"/>
          <w:spacing w:val="4"/>
          <w:sz w:val="32"/>
          <w:szCs w:val="32"/>
          <w:lang w:eastAsia="zh-CN"/>
        </w:rPr>
      </w:pPr>
      <w:r>
        <w:rPr>
          <w:rFonts w:hint="eastAsia" w:ascii="仿宋_GB2312" w:hAnsi="仿宋" w:eastAsia="仿宋_GB2312" w:cs="仿宋"/>
          <w:spacing w:val="4"/>
          <w:sz w:val="32"/>
          <w:szCs w:val="32"/>
          <w:lang w:eastAsia="zh-CN"/>
        </w:rPr>
        <w:t>4．医学类高校财务、会计专业骨干师资，及中介咨询机构相关人员。</w:t>
      </w:r>
    </w:p>
    <w:p w14:paraId="56F65BFB">
      <w:pPr>
        <w:pStyle w:val="2"/>
        <w:spacing w:before="156" w:beforeLines="50" w:after="156" w:afterLines="50" w:line="240" w:lineRule="auto"/>
        <w:ind w:firstLine="643"/>
        <w:rPr>
          <w:rFonts w:hint="eastAsia" w:ascii="黑体" w:hAnsi="黑体" w:eastAsia="黑体" w:cs="黑体"/>
          <w:sz w:val="32"/>
        </w:rPr>
      </w:pPr>
      <w:r>
        <w:rPr>
          <w:rFonts w:hint="eastAsia" w:ascii="黑体" w:hAnsi="黑体" w:eastAsia="黑体" w:cs="黑体"/>
          <w:sz w:val="32"/>
        </w:rPr>
        <w:t>三、拟邀师资（按照首字母顺序排序）</w:t>
      </w:r>
    </w:p>
    <w:p w14:paraId="443397C8">
      <w:pPr>
        <w:pStyle w:val="3"/>
        <w:spacing w:line="360" w:lineRule="auto"/>
        <w:ind w:firstLine="659" w:firstLineChars="200"/>
        <w:rPr>
          <w:rFonts w:hint="eastAsia" w:ascii="仿宋_GB2312" w:eastAsia="仿宋_GB2312"/>
          <w:spacing w:val="4"/>
          <w:lang w:eastAsia="zh-CN"/>
        </w:rPr>
      </w:pPr>
      <w:r>
        <w:rPr>
          <w:rFonts w:hint="eastAsia" w:ascii="仿宋_GB2312" w:eastAsia="仿宋_GB2312"/>
          <w:b/>
          <w:bCs/>
          <w:spacing w:val="4"/>
          <w:lang w:eastAsia="zh-CN"/>
        </w:rPr>
        <w:t>吉津海：</w:t>
      </w:r>
      <w:r>
        <w:rPr>
          <w:rFonts w:hint="eastAsia" w:ascii="仿宋_GB2312" w:eastAsia="仿宋_GB2312"/>
          <w:spacing w:val="4"/>
          <w:lang w:eastAsia="zh-CN"/>
        </w:rPr>
        <w:t>中国内部控制研究中心研究员，行政事业单位内控研究所所长；中国会计学会内部控制专业委员会委员；深圳市融智内部控制研究院副院长，首席研究员。主持研发《部门预算管理信息系统》获科技部火炬计划。财政部重点课题《行政事业单位内部控制规范研究》主要负责人。参与财政部《行政事业单位内部控制规范》和《关于全面推进行政事业单位内部控制规范实施指导意见》文件起草。参与财政部《行政事业单位内部控制基础评价指标体系研究》、《中国政府内部控制标准制定与实施机制》等课题研究。主持公立医院、高校行业内控标准体系应用研究；指导吉林省、甘肃省、重庆市等省市公立医院内部控制指引/实施指南的制定；主持基于标准的内控数智化平台应用研究。</w:t>
      </w:r>
    </w:p>
    <w:p w14:paraId="0A52B597">
      <w:pPr>
        <w:widowControl w:val="0"/>
        <w:kinsoku/>
        <w:autoSpaceDE/>
        <w:autoSpaceDN/>
        <w:adjustRightInd/>
        <w:snapToGrid/>
        <w:spacing w:line="360" w:lineRule="auto"/>
        <w:ind w:firstLine="659" w:firstLineChars="200"/>
        <w:textAlignment w:val="auto"/>
        <w:rPr>
          <w:rFonts w:hint="eastAsia" w:ascii="仿宋_GB2312" w:hAnsi="仿宋" w:eastAsia="仿宋_GB2312" w:cs="仿宋"/>
          <w:spacing w:val="4"/>
          <w:sz w:val="32"/>
          <w:szCs w:val="32"/>
          <w:lang w:eastAsia="zh-CN"/>
        </w:rPr>
      </w:pPr>
      <w:r>
        <w:rPr>
          <w:rFonts w:hint="eastAsia" w:ascii="仿宋_GB2312" w:hAnsi="仿宋" w:eastAsia="仿宋_GB2312" w:cs="仿宋"/>
          <w:b/>
          <w:bCs/>
          <w:spacing w:val="4"/>
          <w:sz w:val="32"/>
          <w:szCs w:val="32"/>
          <w:lang w:eastAsia="zh-CN"/>
        </w:rPr>
        <w:t>蔡战英：</w:t>
      </w:r>
      <w:r>
        <w:rPr>
          <w:rFonts w:hint="eastAsia" w:ascii="仿宋_GB2312" w:hAnsi="仿宋" w:eastAsia="仿宋_GB2312" w:cs="仿宋"/>
          <w:spacing w:val="4"/>
          <w:sz w:val="32"/>
          <w:szCs w:val="32"/>
          <w:lang w:eastAsia="zh-CN"/>
        </w:rPr>
        <w:t>温州医科大学附属第二医院党委委员、副院长，国家卫生健康行业经济管理领军人才，工商管理硕士，正高级会计师，注册会计师非执业会员。兼任中国卫生经济学会卫生财会分会理事、浙江省卫生经济学会理事、浙江省总会计师协会理事、温州市财务与价格管理委员会主任，兼任中央财经大学会计学院研究生客座导师、浙江工商大学会计学院硕士研究生实务导师、杭州电子科技大学企业导师，担任国家卫生健康委项目监管中心审计及绩效评价专家、国家卫生健康委大型公立医院巡查专家、《卫生经济研究》和《会计之友》杂志审稿专家，在《中华医院管理》《财务与会计》等核心期刊发表40余篇，主持参与10余个课题研究，参与出版《医院内部控制体系设计及应用》《医院全面预算管理操作指南：图解与案例》2本专著，研究方向医院财务管理、医院运营管理。</w:t>
      </w:r>
    </w:p>
    <w:p w14:paraId="220D24D8">
      <w:pPr>
        <w:widowControl w:val="0"/>
        <w:kinsoku/>
        <w:autoSpaceDE/>
        <w:autoSpaceDN/>
        <w:adjustRightInd/>
        <w:snapToGrid/>
        <w:spacing w:line="360" w:lineRule="auto"/>
        <w:ind w:firstLine="659" w:firstLineChars="200"/>
        <w:textAlignment w:val="auto"/>
        <w:rPr>
          <w:rFonts w:hint="eastAsia" w:ascii="仿宋_GB2312" w:hAnsi="仿宋" w:eastAsia="仿宋_GB2312" w:cs="仿宋"/>
          <w:spacing w:val="4"/>
          <w:sz w:val="32"/>
          <w:szCs w:val="32"/>
          <w:lang w:eastAsia="zh-CN"/>
        </w:rPr>
      </w:pPr>
      <w:r>
        <w:rPr>
          <w:rFonts w:hint="eastAsia" w:ascii="仿宋_GB2312" w:hAnsi="仿宋" w:eastAsia="仿宋_GB2312" w:cs="仿宋"/>
          <w:b/>
          <w:bCs/>
          <w:spacing w:val="4"/>
          <w:sz w:val="32"/>
          <w:szCs w:val="32"/>
          <w:lang w:eastAsia="zh-CN"/>
        </w:rPr>
        <w:t>陈朝伟：</w:t>
      </w:r>
      <w:r>
        <w:rPr>
          <w:rFonts w:hint="eastAsia" w:ascii="仿宋_GB2312" w:hAnsi="仿宋" w:eastAsia="仿宋_GB2312" w:cs="仿宋"/>
          <w:spacing w:val="4"/>
          <w:sz w:val="32"/>
          <w:szCs w:val="32"/>
          <w:lang w:eastAsia="zh-CN"/>
        </w:rPr>
        <w:t>温州医科大学附属第二医院审计室主任，高级会计师，工商管理硕士，国家卫健委第一期卫生健康行业经济管理后备领军人才。在《财务与会计》、《</w:t>
      </w:r>
      <w:r>
        <w:rPr>
          <w:rFonts w:hint="eastAsia" w:ascii="仿宋_GB2312" w:hAnsi="Calibri" w:eastAsia="仿宋_GB2312" w:cs="Calibri"/>
          <w:spacing w:val="4"/>
          <w:sz w:val="32"/>
          <w:szCs w:val="32"/>
          <w:lang w:eastAsia="zh-CN"/>
        </w:rPr>
        <w:t> </w:t>
      </w:r>
      <w:r>
        <w:rPr>
          <w:rFonts w:hint="eastAsia" w:ascii="仿宋_GB2312" w:hAnsi="仿宋" w:eastAsia="仿宋_GB2312" w:cs="仿宋"/>
          <w:spacing w:val="4"/>
          <w:sz w:val="32"/>
          <w:szCs w:val="32"/>
          <w:lang w:eastAsia="zh-CN"/>
        </w:rPr>
        <w:t>中国卫生经济》等刊物上发表论文多篇，合著《医院内部控制体系设计与应用》一书。担任温州市卫生经济学会财审与运营管理专业委员会副主任委员。</w:t>
      </w:r>
    </w:p>
    <w:p w14:paraId="6D4B34C7">
      <w:pPr>
        <w:pStyle w:val="3"/>
        <w:spacing w:line="360" w:lineRule="auto"/>
        <w:ind w:firstLine="659" w:firstLineChars="200"/>
        <w:rPr>
          <w:rFonts w:hint="eastAsia" w:ascii="仿宋_GB2312" w:eastAsia="仿宋_GB2312"/>
          <w:spacing w:val="4"/>
          <w:lang w:eastAsia="zh-CN"/>
        </w:rPr>
      </w:pPr>
      <w:r>
        <w:rPr>
          <w:rFonts w:hint="eastAsia" w:ascii="仿宋_GB2312" w:eastAsia="仿宋_GB2312"/>
          <w:b/>
          <w:bCs/>
          <w:spacing w:val="4"/>
          <w:lang w:eastAsia="zh-CN"/>
        </w:rPr>
        <w:t>陈浩：</w:t>
      </w:r>
      <w:r>
        <w:rPr>
          <w:rFonts w:hint="eastAsia" w:ascii="仿宋_GB2312" w:eastAsia="仿宋_GB2312"/>
          <w:spacing w:val="4"/>
          <w:lang w:eastAsia="zh-CN"/>
        </w:rPr>
        <w:t>温州医科大学第二临床医学院，附属第二医院、育英儿童医院教学部主任。消化内科副教授。浙江省医学会医学教育学分会第八届委员会常务委员。长期从事临床教学管理工作，以主编和副主译身份出版10余本著作。曾先后获得温州医科大学首届英语授课一等奖、温州医科大学教坛新秀、温州市优秀教师、温州医科大学师德标兵、温州医科大学管理育人先锋和浙江省本科院校优秀教务人员等荣誉。</w:t>
      </w:r>
    </w:p>
    <w:p w14:paraId="7934ACFA">
      <w:pPr>
        <w:pStyle w:val="3"/>
        <w:spacing w:line="360" w:lineRule="auto"/>
        <w:ind w:firstLine="659" w:firstLineChars="200"/>
        <w:rPr>
          <w:rFonts w:hint="eastAsia" w:ascii="仿宋_GB2312" w:eastAsia="仿宋_GB2312"/>
          <w:spacing w:val="4"/>
          <w:lang w:eastAsia="zh-CN"/>
        </w:rPr>
      </w:pPr>
      <w:r>
        <w:rPr>
          <w:rFonts w:hint="eastAsia" w:ascii="仿宋_GB2312" w:eastAsia="仿宋_GB2312"/>
          <w:b/>
          <w:bCs/>
          <w:spacing w:val="4"/>
          <w:lang w:eastAsia="zh-CN"/>
        </w:rPr>
        <w:t>崔</w:t>
      </w:r>
      <w:r>
        <w:rPr>
          <w:rFonts w:hint="eastAsia" w:ascii="微软雅黑" w:hAnsi="微软雅黑" w:eastAsia="微软雅黑" w:cs="微软雅黑"/>
          <w:b/>
          <w:bCs/>
          <w:spacing w:val="4"/>
          <w:lang w:eastAsia="zh-CN"/>
        </w:rPr>
        <w:t>虓</w:t>
      </w:r>
      <w:r>
        <w:rPr>
          <w:rFonts w:hint="eastAsia" w:ascii="仿宋_GB2312" w:eastAsia="仿宋_GB2312"/>
          <w:spacing w:val="4"/>
          <w:lang w:eastAsia="zh-CN"/>
        </w:rPr>
        <w:t>：温州医科大学附属第二医院、育英儿童医院医保物价办公室主任。兼任浙江省医院协会医保专委会委员、浙江省医学会医保专委会委员、温州市医院协会医保管理专委会副主任委员、温州市卫生经济学会医保与物价专委会副主任委员；中国优生科学协会基因与药学学组委员、浙江省药学会慢病药学专委会委员、浙江省医师协会临床合理用药专业委员会青年委员、温州市药学会理事、温州市医学会儿童药学学组委员，温州市中级法院医药类技术调查官。从事医保政策与药物经济学分析、临床药物合理应用和药源性疾病的判断与处理等。主持浙江省基础公益研究计划课题、温州市基础公益研究计划课题多项。</w:t>
      </w:r>
    </w:p>
    <w:p w14:paraId="74DCE83B">
      <w:pPr>
        <w:pStyle w:val="3"/>
        <w:spacing w:line="360" w:lineRule="auto"/>
        <w:ind w:firstLine="659" w:firstLineChars="200"/>
        <w:rPr>
          <w:rFonts w:hint="eastAsia" w:ascii="仿宋_GB2312" w:eastAsia="仿宋_GB2312"/>
          <w:spacing w:val="4"/>
          <w:lang w:eastAsia="zh-CN"/>
        </w:rPr>
      </w:pPr>
      <w:r>
        <w:rPr>
          <w:rFonts w:hint="eastAsia" w:ascii="仿宋_GB2312" w:eastAsia="仿宋_GB2312"/>
          <w:b/>
          <w:bCs/>
          <w:spacing w:val="4"/>
          <w:lang w:eastAsia="zh-CN"/>
        </w:rPr>
        <w:t>郭蕾：</w:t>
      </w:r>
      <w:r>
        <w:rPr>
          <w:rFonts w:hint="eastAsia" w:ascii="仿宋_GB2312" w:eastAsia="仿宋_GB2312"/>
          <w:spacing w:val="4"/>
          <w:lang w:eastAsia="zh-CN"/>
        </w:rPr>
        <w:t>温州医科大学附属第二医院医务部主任、重症医学科主任医师、中国医院协会抗菌药物合理应用工作委员会委员、中国医院协会医院感染管理专业委员会委员、中国研究型医院学会感染研究与规范诊疗专业委员会委员、浙江省医院协会医疗质量管理专业委员会委员、浙江省医院协会患者安全专委会委员、温州医学会微生物与免疫分会副主任委员、温州医学会重症医学分会委员。</w:t>
      </w:r>
    </w:p>
    <w:p w14:paraId="59C6118C">
      <w:pPr>
        <w:pStyle w:val="3"/>
        <w:spacing w:line="360" w:lineRule="auto"/>
        <w:ind w:firstLine="659" w:firstLineChars="200"/>
        <w:rPr>
          <w:rFonts w:hint="eastAsia" w:ascii="仿宋_GB2312" w:eastAsia="仿宋_GB2312"/>
          <w:spacing w:val="4"/>
          <w:lang w:eastAsia="zh-CN"/>
        </w:rPr>
      </w:pPr>
      <w:r>
        <w:rPr>
          <w:rFonts w:hint="eastAsia" w:ascii="仿宋_GB2312" w:eastAsia="仿宋_GB2312"/>
          <w:b/>
          <w:bCs/>
          <w:spacing w:val="4"/>
          <w:lang w:eastAsia="zh-CN"/>
        </w:rPr>
        <w:t>黄济东：</w:t>
      </w:r>
      <w:r>
        <w:rPr>
          <w:rFonts w:hint="eastAsia" w:ascii="仿宋_GB2312" w:eastAsia="仿宋_GB2312"/>
          <w:spacing w:val="4"/>
          <w:lang w:eastAsia="zh-CN"/>
        </w:rPr>
        <w:t>温州医科大学附属第二医院后勤保障部主任，公共卫生政策与管理专业，管理学博士，温州医科大学后勤专业委员会委员。</w:t>
      </w:r>
    </w:p>
    <w:p w14:paraId="1E9C1A47">
      <w:pPr>
        <w:pStyle w:val="3"/>
        <w:spacing w:line="360" w:lineRule="auto"/>
        <w:ind w:firstLine="659" w:firstLineChars="200"/>
        <w:rPr>
          <w:rFonts w:hint="eastAsia" w:ascii="仿宋_GB2312" w:eastAsia="仿宋_GB2312"/>
          <w:spacing w:val="4"/>
          <w:lang w:eastAsia="zh-CN"/>
        </w:rPr>
      </w:pPr>
      <w:r>
        <w:rPr>
          <w:rFonts w:hint="eastAsia" w:ascii="仿宋_GB2312" w:eastAsia="仿宋_GB2312"/>
          <w:b/>
          <w:bCs/>
          <w:spacing w:val="4"/>
          <w:lang w:eastAsia="zh-CN"/>
        </w:rPr>
        <w:t>王爱霞：</w:t>
      </w:r>
      <w:r>
        <w:rPr>
          <w:rFonts w:hint="eastAsia" w:ascii="仿宋_GB2312" w:eastAsia="仿宋_GB2312"/>
          <w:spacing w:val="4"/>
          <w:lang w:eastAsia="zh-CN"/>
        </w:rPr>
        <w:t>温州医科大学附属第二医院护理部主任、主任护师、硕士生导师、中华护理学会外科护理专业委员会委员、中国抗癌协会肿瘤整合护理专业委员会常务委员、中国抗癌协会肿瘤营养专业委员会营养护理协作组委员、浙江省护理学会外科护理专业委员会副主任委员、浙江省营养学会护理营养专业委员会副主任委员、温州市护理学会副理事长、营养专业委员会主任委员、温州市医学会鉴定专家、温州医科大学临床护理质量管理专业委员会副主任委员、《温州医科大学学报》编委。</w:t>
      </w:r>
    </w:p>
    <w:p w14:paraId="65A8D747">
      <w:pPr>
        <w:pStyle w:val="3"/>
        <w:spacing w:line="360" w:lineRule="auto"/>
        <w:ind w:firstLine="659" w:firstLineChars="200"/>
        <w:rPr>
          <w:rFonts w:hint="eastAsia" w:ascii="仿宋_GB2312" w:eastAsia="仿宋_GB2312"/>
          <w:spacing w:val="4"/>
          <w:lang w:eastAsia="zh-CN"/>
        </w:rPr>
      </w:pPr>
      <w:r>
        <w:rPr>
          <w:rFonts w:hint="eastAsia" w:ascii="仿宋_GB2312" w:eastAsia="仿宋_GB2312"/>
          <w:b/>
          <w:bCs/>
          <w:spacing w:val="4"/>
          <w:lang w:eastAsia="zh-CN"/>
        </w:rPr>
        <w:t>王倩：</w:t>
      </w:r>
      <w:r>
        <w:rPr>
          <w:rFonts w:hint="eastAsia" w:ascii="仿宋_GB2312" w:eastAsia="仿宋_GB2312"/>
          <w:spacing w:val="4"/>
          <w:lang w:eastAsia="zh-CN"/>
        </w:rPr>
        <w:t>温州医科大学附属第二医院科研部主任，医学博士，副教授，博导，浙江省高层次人才特殊支持计划医疗卫生青年人才，中国心胸血管麻醉学会围术期器官保护分会委员，浙江省医学会麻醉学分会青年委员，温州市医学会临床试验与伦理分会委员，浙江省自然、广东省自然评审专家，2024年第四届“浙江省医师协会优秀青年麻醉学医师”。主要从事围术期器官保护，炎症消退，急性呼吸窘迫综合征，脓毒症等相关研究。先后主持国自然2项，省部级课题3项。以第一作者/通讯(共同通讯)作者在《J Adv Res》《Am J Respir Cell Mol Biol》等一区TOP期刊发表SCI论文20余篇,获批国家发明专利3项，实用新型专利4项。作为参与人，部分成果获浙江省科技进步一等奖、二等奖和中华医学二等奖等。</w:t>
      </w:r>
    </w:p>
    <w:p w14:paraId="1957B58F">
      <w:pPr>
        <w:pStyle w:val="3"/>
        <w:spacing w:line="360" w:lineRule="auto"/>
        <w:ind w:firstLine="659" w:firstLineChars="200"/>
        <w:rPr>
          <w:rFonts w:hint="eastAsia" w:ascii="仿宋_GB2312" w:eastAsia="仿宋_GB2312"/>
          <w:spacing w:val="4"/>
          <w:lang w:eastAsia="zh-CN"/>
        </w:rPr>
      </w:pPr>
      <w:r>
        <w:rPr>
          <w:rFonts w:hint="eastAsia" w:ascii="仿宋_GB2312" w:eastAsia="仿宋_GB2312"/>
          <w:b/>
          <w:bCs/>
          <w:spacing w:val="4"/>
          <w:lang w:eastAsia="zh-CN"/>
        </w:rPr>
        <w:t>吴安植：</w:t>
      </w:r>
      <w:r>
        <w:rPr>
          <w:rFonts w:hint="eastAsia" w:ascii="仿宋_GB2312" w:eastAsia="仿宋_GB2312"/>
          <w:spacing w:val="4"/>
          <w:lang w:eastAsia="zh-CN"/>
        </w:rPr>
        <w:t>温州医科大学附属第二医院基建部副主任、公共管理学硕士、经济师，浙江省健康服务业促进会医疗机构数智建设委员会委员。</w:t>
      </w:r>
    </w:p>
    <w:p w14:paraId="54DCDE9A">
      <w:pPr>
        <w:pStyle w:val="3"/>
        <w:spacing w:line="360" w:lineRule="auto"/>
        <w:ind w:firstLine="659" w:firstLineChars="200"/>
        <w:rPr>
          <w:rFonts w:hint="eastAsia" w:ascii="仿宋_GB2312" w:eastAsia="仿宋_GB2312"/>
          <w:spacing w:val="4"/>
          <w:lang w:eastAsia="zh-CN"/>
        </w:rPr>
      </w:pPr>
      <w:r>
        <w:rPr>
          <w:rFonts w:hint="eastAsia" w:ascii="仿宋_GB2312" w:eastAsia="仿宋_GB2312"/>
          <w:b/>
          <w:bCs/>
          <w:spacing w:val="4"/>
          <w:lang w:eastAsia="zh-CN"/>
        </w:rPr>
        <w:t>徐苗桑：</w:t>
      </w:r>
      <w:r>
        <w:rPr>
          <w:rFonts w:hint="eastAsia" w:ascii="仿宋_GB2312" w:eastAsia="仿宋_GB2312"/>
          <w:spacing w:val="4"/>
          <w:lang w:eastAsia="zh-CN"/>
        </w:rPr>
        <w:t>中国医院协会信息（CHIMA）专业委员会委员、中国医疗信息化青年委员会委员、浙江省卫生信息学会医院信息化分会常务委员、浙江省数理医学会数字化临床研究专业委会会常务委员、温州医学会医学信息学分会委员、浙江省医院信息安全专委会委员。获全国医院信息化杰出创新力人物、中国好医工，优秀临床工程师全国十佳等。从事医院信息化建设已有二十余年。</w:t>
      </w:r>
    </w:p>
    <w:p w14:paraId="3854A7DE">
      <w:pPr>
        <w:pStyle w:val="3"/>
        <w:spacing w:line="360" w:lineRule="auto"/>
        <w:ind w:firstLine="659" w:firstLineChars="200"/>
        <w:rPr>
          <w:rFonts w:hint="eastAsia" w:ascii="仿宋_GB2312" w:eastAsia="仿宋_GB2312"/>
          <w:spacing w:val="4"/>
          <w:lang w:eastAsia="zh-CN"/>
        </w:rPr>
      </w:pPr>
      <w:r>
        <w:rPr>
          <w:rFonts w:hint="eastAsia" w:ascii="仿宋_GB2312" w:eastAsia="仿宋_GB2312"/>
          <w:b/>
          <w:bCs/>
          <w:spacing w:val="4"/>
          <w:lang w:eastAsia="zh-CN"/>
        </w:rPr>
        <w:t>徐优晓：</w:t>
      </w:r>
      <w:r>
        <w:rPr>
          <w:rFonts w:hint="eastAsia" w:ascii="仿宋_GB2312" w:eastAsia="仿宋_GB2312"/>
          <w:spacing w:val="4"/>
          <w:lang w:eastAsia="zh-CN"/>
        </w:rPr>
        <w:t>温州医科大学附属第二医院采购部主任，长期从事医院采购管理工作，具有丰富的工作经验。</w:t>
      </w:r>
    </w:p>
    <w:p w14:paraId="22B8B509">
      <w:pPr>
        <w:pStyle w:val="3"/>
        <w:spacing w:line="360" w:lineRule="auto"/>
        <w:ind w:firstLine="659" w:firstLineChars="200"/>
        <w:rPr>
          <w:rFonts w:hint="eastAsia" w:ascii="仿宋_GB2312" w:eastAsia="仿宋_GB2312"/>
          <w:spacing w:val="4"/>
          <w:lang w:eastAsia="zh-CN"/>
        </w:rPr>
      </w:pPr>
      <w:r>
        <w:rPr>
          <w:rFonts w:hint="eastAsia" w:ascii="仿宋_GB2312" w:eastAsia="仿宋_GB2312"/>
          <w:b/>
          <w:bCs/>
          <w:spacing w:val="4"/>
          <w:lang w:eastAsia="zh-CN"/>
        </w:rPr>
        <w:t>朱显武：</w:t>
      </w:r>
      <w:r>
        <w:rPr>
          <w:rFonts w:hint="eastAsia" w:ascii="仿宋_GB2312" w:eastAsia="仿宋_GB2312"/>
          <w:spacing w:val="4"/>
          <w:lang w:eastAsia="zh-CN"/>
        </w:rPr>
        <w:t>温州医科大学附属第二医院医学工程与装备部副主任、中国医学装备协会医疗器械创新与应用分会委员、浙江省医学会医学工程学分会青年委员、温州市医学会医学工程学分会委员、温州市医学会医学工程学分会检验与实验设备学组组长。</w:t>
      </w:r>
    </w:p>
    <w:p w14:paraId="2305D564">
      <w:pPr>
        <w:pStyle w:val="3"/>
        <w:spacing w:line="360" w:lineRule="auto"/>
        <w:ind w:firstLine="659" w:firstLineChars="200"/>
        <w:rPr>
          <w:rFonts w:hint="eastAsia" w:ascii="仿宋_GB2312" w:eastAsia="仿宋_GB2312"/>
          <w:spacing w:val="4"/>
          <w:lang w:eastAsia="zh-CN"/>
        </w:rPr>
      </w:pPr>
      <w:r>
        <w:rPr>
          <w:rFonts w:hint="eastAsia" w:ascii="仿宋_GB2312" w:eastAsia="仿宋_GB2312"/>
          <w:b/>
          <w:bCs/>
          <w:spacing w:val="4"/>
          <w:lang w:eastAsia="zh-CN"/>
        </w:rPr>
        <w:t>张燕飞：</w:t>
      </w:r>
      <w:r>
        <w:rPr>
          <w:rFonts w:hint="eastAsia" w:ascii="仿宋_GB2312" w:eastAsia="仿宋_GB2312"/>
          <w:spacing w:val="4"/>
          <w:lang w:eastAsia="zh-CN"/>
        </w:rPr>
        <w:t>温州医科大学附属第二医院财务部副主任，国家卫生健康行业经济管理领军人才，管理学硕士，高级会计师，在《财务与会计》等核心期刊发表论文，主持参与6余个课题研究。</w:t>
      </w:r>
    </w:p>
    <w:p w14:paraId="31D81CDE">
      <w:pPr>
        <w:widowControl w:val="0"/>
        <w:kinsoku/>
        <w:autoSpaceDE/>
        <w:autoSpaceDN/>
        <w:adjustRightInd/>
        <w:snapToGrid/>
        <w:spacing w:line="360" w:lineRule="auto"/>
        <w:ind w:firstLine="659" w:firstLineChars="200"/>
        <w:textAlignment w:val="auto"/>
        <w:rPr>
          <w:rFonts w:hint="eastAsia" w:ascii="仿宋_GB2312" w:hAnsi="仿宋" w:eastAsia="仿宋_GB2312" w:cs="仿宋"/>
          <w:spacing w:val="4"/>
          <w:sz w:val="32"/>
          <w:szCs w:val="32"/>
          <w:lang w:eastAsia="zh-CN"/>
        </w:rPr>
      </w:pPr>
      <w:r>
        <w:rPr>
          <w:rFonts w:hint="eastAsia" w:ascii="仿宋_GB2312" w:hAnsi="仿宋" w:eastAsia="仿宋_GB2312" w:cs="仿宋"/>
          <w:b/>
          <w:bCs/>
          <w:spacing w:val="4"/>
          <w:sz w:val="32"/>
          <w:szCs w:val="32"/>
          <w:lang w:eastAsia="zh-CN"/>
        </w:rPr>
        <w:t>赵正城：</w:t>
      </w:r>
      <w:r>
        <w:rPr>
          <w:rFonts w:hint="eastAsia" w:ascii="仿宋_GB2312" w:hAnsi="仿宋" w:eastAsia="仿宋_GB2312" w:cs="仿宋"/>
          <w:spacing w:val="4"/>
          <w:sz w:val="32"/>
          <w:szCs w:val="32"/>
          <w:lang w:eastAsia="zh-CN"/>
        </w:rPr>
        <w:t>温州医科大学附属第二医院财务部副主任、中级会计师、管理学硕士，在《财务与会计》、《</w:t>
      </w:r>
      <w:r>
        <w:rPr>
          <w:rFonts w:hint="eastAsia" w:ascii="仿宋_GB2312" w:hAnsi="Calibri" w:eastAsia="仿宋_GB2312" w:cs="Calibri"/>
          <w:spacing w:val="4"/>
          <w:sz w:val="32"/>
          <w:szCs w:val="32"/>
          <w:lang w:eastAsia="zh-CN"/>
        </w:rPr>
        <w:t> </w:t>
      </w:r>
      <w:r>
        <w:rPr>
          <w:rFonts w:hint="eastAsia" w:ascii="仿宋_GB2312" w:hAnsi="仿宋" w:eastAsia="仿宋_GB2312" w:cs="仿宋"/>
          <w:spacing w:val="4"/>
          <w:sz w:val="32"/>
          <w:szCs w:val="32"/>
          <w:lang w:eastAsia="zh-CN"/>
        </w:rPr>
        <w:t>会计之友》等刊物上发表论文多篇。</w:t>
      </w:r>
    </w:p>
    <w:p w14:paraId="4AD84BB0">
      <w:pPr>
        <w:pStyle w:val="2"/>
        <w:spacing w:before="156" w:beforeLines="50" w:after="156" w:afterLines="50" w:line="240" w:lineRule="auto"/>
        <w:ind w:firstLine="643"/>
        <w:rPr>
          <w:rFonts w:hint="eastAsia" w:ascii="黑体" w:hAnsi="黑体" w:eastAsia="黑体" w:cs="黑体"/>
          <w:sz w:val="32"/>
        </w:rPr>
      </w:pPr>
      <w:r>
        <w:rPr>
          <w:rFonts w:hint="eastAsia" w:ascii="黑体" w:hAnsi="黑体" w:eastAsia="黑体" w:cs="黑体"/>
          <w:sz w:val="32"/>
        </w:rPr>
        <w:t>四、课程内容</w:t>
      </w:r>
    </w:p>
    <w:p w14:paraId="66DC6D03">
      <w:pPr>
        <w:pStyle w:val="3"/>
        <w:spacing w:line="360" w:lineRule="auto"/>
        <w:ind w:firstLine="659" w:firstLineChars="200"/>
        <w:rPr>
          <w:rFonts w:hint="eastAsia" w:ascii="仿宋_GB2312" w:eastAsia="仿宋_GB2312"/>
          <w:b/>
          <w:bCs/>
          <w:spacing w:val="4"/>
          <w:lang w:eastAsia="zh-CN"/>
        </w:rPr>
      </w:pPr>
      <w:r>
        <w:rPr>
          <w:rFonts w:hint="eastAsia" w:ascii="仿宋_GB2312" w:eastAsia="仿宋_GB2312"/>
          <w:b/>
          <w:bCs/>
          <w:spacing w:val="4"/>
          <w:lang w:eastAsia="zh-CN"/>
        </w:rPr>
        <w:t>专题一：可落地实施的公立医院内部控制组织推动</w:t>
      </w:r>
    </w:p>
    <w:p w14:paraId="314EF045">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1.公立医院内部控制体系分段建设</w:t>
      </w:r>
    </w:p>
    <w:p w14:paraId="3C645B49">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2.公立医院行业内部控制标准及其应用</w:t>
      </w:r>
    </w:p>
    <w:p w14:paraId="710EDFA6">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3.公立医院内部控制的组织与运行</w:t>
      </w:r>
    </w:p>
    <w:p w14:paraId="62A6E53B">
      <w:pPr>
        <w:pStyle w:val="3"/>
        <w:spacing w:line="360" w:lineRule="auto"/>
        <w:ind w:firstLine="659" w:firstLineChars="200"/>
        <w:rPr>
          <w:rFonts w:hint="eastAsia" w:ascii="仿宋_GB2312" w:eastAsia="仿宋_GB2312"/>
          <w:b/>
          <w:bCs/>
          <w:spacing w:val="4"/>
          <w:lang w:eastAsia="zh-CN"/>
        </w:rPr>
      </w:pPr>
      <w:r>
        <w:rPr>
          <w:rFonts w:hint="eastAsia" w:ascii="仿宋_GB2312" w:eastAsia="仿宋_GB2312"/>
          <w:b/>
          <w:bCs/>
          <w:spacing w:val="4"/>
          <w:lang w:eastAsia="zh-CN"/>
        </w:rPr>
        <w:t>专题二：公立医院内部控制体系设计及应用</w:t>
      </w:r>
    </w:p>
    <w:p w14:paraId="37B4E113">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1.公立医院内部控制概述</w:t>
      </w:r>
    </w:p>
    <w:p w14:paraId="312B6B2C">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2.公立医院内部控制体系设计</w:t>
      </w:r>
    </w:p>
    <w:p w14:paraId="69BB4595">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3.公立医院内部控制体系的组织与实施</w:t>
      </w:r>
    </w:p>
    <w:p w14:paraId="506953B9">
      <w:pPr>
        <w:pStyle w:val="3"/>
        <w:spacing w:line="360" w:lineRule="auto"/>
        <w:ind w:firstLine="659" w:firstLineChars="200"/>
        <w:rPr>
          <w:rFonts w:hint="eastAsia" w:ascii="仿宋_GB2312" w:eastAsia="仿宋_GB2312"/>
          <w:b/>
          <w:bCs/>
          <w:spacing w:val="4"/>
          <w:lang w:eastAsia="zh-CN"/>
        </w:rPr>
      </w:pPr>
      <w:r>
        <w:rPr>
          <w:rFonts w:hint="eastAsia" w:ascii="仿宋_GB2312" w:eastAsia="仿宋_GB2312"/>
          <w:b/>
          <w:bCs/>
          <w:spacing w:val="4"/>
          <w:lang w:eastAsia="zh-CN"/>
        </w:rPr>
        <w:t>专题三：公立医院内部控制评价体系构建与应用</w:t>
      </w:r>
    </w:p>
    <w:p w14:paraId="73BDBDF1">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1.内部控制评价体系的重要性</w:t>
      </w:r>
    </w:p>
    <w:p w14:paraId="512CA94E">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2.构建内部控制评价体系的步骤</w:t>
      </w:r>
    </w:p>
    <w:p w14:paraId="3967FEC3">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3.内部控制评价体系的应用案例</w:t>
      </w:r>
    </w:p>
    <w:p w14:paraId="65A5481E">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4.内部控制评价面临的挑战与解决策略</w:t>
      </w:r>
    </w:p>
    <w:p w14:paraId="10CC9978">
      <w:pPr>
        <w:pStyle w:val="3"/>
        <w:spacing w:line="360" w:lineRule="auto"/>
        <w:ind w:firstLine="659" w:firstLineChars="200"/>
        <w:rPr>
          <w:rFonts w:hint="eastAsia" w:ascii="仿宋_GB2312" w:eastAsia="仿宋_GB2312"/>
          <w:b/>
          <w:bCs/>
          <w:spacing w:val="4"/>
          <w:lang w:eastAsia="zh-CN"/>
        </w:rPr>
      </w:pPr>
      <w:r>
        <w:rPr>
          <w:rFonts w:hint="eastAsia" w:ascii="仿宋_GB2312" w:eastAsia="仿宋_GB2312"/>
          <w:b/>
          <w:bCs/>
          <w:spacing w:val="4"/>
          <w:lang w:eastAsia="zh-CN"/>
        </w:rPr>
        <w:t>专题四：内部控制视角下的医院全面预算管理实践</w:t>
      </w:r>
    </w:p>
    <w:p w14:paraId="142839A8">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1.全面预算管理概述</w:t>
      </w:r>
    </w:p>
    <w:p w14:paraId="6638AA2F">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2.全面预算管理内控风险及风险防范措施</w:t>
      </w:r>
    </w:p>
    <w:p w14:paraId="26E5CA35">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3.全面预算管理标准内控建设实践</w:t>
      </w:r>
    </w:p>
    <w:p w14:paraId="588B13C4">
      <w:pPr>
        <w:pStyle w:val="3"/>
        <w:spacing w:line="360" w:lineRule="auto"/>
        <w:ind w:firstLine="659" w:firstLineChars="200"/>
        <w:rPr>
          <w:rFonts w:hint="eastAsia" w:ascii="仿宋_GB2312" w:eastAsia="仿宋_GB2312"/>
          <w:b/>
          <w:bCs/>
          <w:spacing w:val="4"/>
          <w:lang w:eastAsia="zh-CN"/>
        </w:rPr>
      </w:pPr>
      <w:r>
        <w:rPr>
          <w:rFonts w:hint="eastAsia" w:ascii="仿宋_GB2312" w:eastAsia="仿宋_GB2312"/>
          <w:b/>
          <w:bCs/>
          <w:spacing w:val="4"/>
          <w:lang w:eastAsia="zh-CN"/>
        </w:rPr>
        <w:t>专题五：DRGs付费模式下的医保内控管理创新与实践</w:t>
      </w:r>
    </w:p>
    <w:p w14:paraId="6A822F1A">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1.医保相关政策解读</w:t>
      </w:r>
    </w:p>
    <w:p w14:paraId="1F55DDAD">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2.DRGs支付方式概况</w:t>
      </w:r>
    </w:p>
    <w:p w14:paraId="3C25F889">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3.DRGs付费模式下医保内控管理实践分享</w:t>
      </w:r>
    </w:p>
    <w:p w14:paraId="17BC6C93">
      <w:pPr>
        <w:pStyle w:val="3"/>
        <w:spacing w:line="360" w:lineRule="auto"/>
        <w:ind w:firstLine="659" w:firstLineChars="200"/>
        <w:rPr>
          <w:rFonts w:hint="eastAsia" w:ascii="仿宋_GB2312" w:eastAsia="仿宋_GB2312"/>
          <w:b/>
          <w:bCs/>
          <w:spacing w:val="4"/>
          <w:lang w:eastAsia="zh-CN"/>
        </w:rPr>
      </w:pPr>
      <w:r>
        <w:rPr>
          <w:rFonts w:hint="eastAsia" w:ascii="仿宋_GB2312" w:eastAsia="仿宋_GB2312"/>
          <w:b/>
          <w:bCs/>
          <w:spacing w:val="4"/>
          <w:lang w:eastAsia="zh-CN"/>
        </w:rPr>
        <w:t>专题六：内部控制视角下医院采购精细化管理实践</w:t>
      </w:r>
    </w:p>
    <w:p w14:paraId="329DFDD9">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1.采购精细化管理概述</w:t>
      </w:r>
    </w:p>
    <w:p w14:paraId="72203B61">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2.采购精细化管理的风险及应对</w:t>
      </w:r>
    </w:p>
    <w:p w14:paraId="5992F85D">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3.采购精细化管理内控建设与实施</w:t>
      </w:r>
    </w:p>
    <w:p w14:paraId="764EF900">
      <w:pPr>
        <w:pStyle w:val="3"/>
        <w:spacing w:line="360" w:lineRule="auto"/>
        <w:ind w:firstLine="659" w:firstLineChars="200"/>
        <w:rPr>
          <w:rFonts w:hint="eastAsia" w:ascii="仿宋_GB2312" w:eastAsia="仿宋_GB2312"/>
          <w:b/>
          <w:bCs/>
          <w:spacing w:val="4"/>
          <w:lang w:eastAsia="zh-CN"/>
        </w:rPr>
      </w:pPr>
      <w:r>
        <w:rPr>
          <w:rFonts w:hint="eastAsia" w:ascii="仿宋_GB2312" w:eastAsia="仿宋_GB2312"/>
          <w:b/>
          <w:bCs/>
          <w:spacing w:val="4"/>
          <w:lang w:eastAsia="zh-CN"/>
        </w:rPr>
        <w:t>专题七：医院资产管理内部控制体系构建与风险防范</w:t>
      </w:r>
    </w:p>
    <w:p w14:paraId="4EB36072">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1.医院资产全流程管理概述</w:t>
      </w:r>
    </w:p>
    <w:p w14:paraId="5287E189">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2.医院资产管理存在的主要问题及分析</w:t>
      </w:r>
    </w:p>
    <w:p w14:paraId="41E422BB">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3.医院资产管理信息化内控体系建设</w:t>
      </w:r>
    </w:p>
    <w:p w14:paraId="6815313B">
      <w:pPr>
        <w:pStyle w:val="3"/>
        <w:spacing w:line="360" w:lineRule="auto"/>
        <w:ind w:firstLine="659" w:firstLineChars="200"/>
        <w:rPr>
          <w:rFonts w:hint="eastAsia" w:ascii="仿宋_GB2312" w:eastAsia="仿宋_GB2312"/>
          <w:b/>
          <w:bCs/>
          <w:spacing w:val="4"/>
          <w:lang w:eastAsia="zh-CN"/>
        </w:rPr>
      </w:pPr>
      <w:r>
        <w:rPr>
          <w:rFonts w:hint="eastAsia" w:ascii="仿宋_GB2312" w:eastAsia="仿宋_GB2312"/>
          <w:b/>
          <w:bCs/>
          <w:spacing w:val="4"/>
          <w:lang w:eastAsia="zh-CN"/>
        </w:rPr>
        <w:t>专题八：医院医用耗材全流程管理内控建设与实践</w:t>
      </w:r>
    </w:p>
    <w:p w14:paraId="100E8159">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1.医用耗材全流程管理概述</w:t>
      </w:r>
    </w:p>
    <w:p w14:paraId="1784EFCD">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2.医用耗材全流程管理主要问题及分析</w:t>
      </w:r>
    </w:p>
    <w:p w14:paraId="61F0555A">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3.医用耗材全流程管理内控建设与实施</w:t>
      </w:r>
    </w:p>
    <w:p w14:paraId="5C073B48">
      <w:pPr>
        <w:pStyle w:val="3"/>
        <w:spacing w:line="360" w:lineRule="auto"/>
        <w:ind w:firstLine="659" w:firstLineChars="200"/>
        <w:rPr>
          <w:rFonts w:hint="eastAsia" w:ascii="仿宋_GB2312" w:eastAsia="仿宋_GB2312"/>
          <w:b/>
          <w:bCs/>
          <w:spacing w:val="4"/>
          <w:lang w:eastAsia="zh-CN"/>
        </w:rPr>
      </w:pPr>
      <w:r>
        <w:rPr>
          <w:rFonts w:hint="eastAsia" w:ascii="仿宋_GB2312" w:eastAsia="仿宋_GB2312"/>
          <w:b/>
          <w:bCs/>
          <w:spacing w:val="4"/>
          <w:lang w:eastAsia="zh-CN"/>
        </w:rPr>
        <w:t>专题九：公立医院基建部内控建设与实践</w:t>
      </w:r>
    </w:p>
    <w:p w14:paraId="1C7A0DFA">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1、基建项目全过程管理概况</w:t>
      </w:r>
    </w:p>
    <w:p w14:paraId="1176FAFA">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2、内控流程管理介绍-工程联系单变更管理为例</w:t>
      </w:r>
    </w:p>
    <w:p w14:paraId="1C87036B">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3、基建内控流程建设与实施</w:t>
      </w:r>
    </w:p>
    <w:p w14:paraId="029AD500">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4、基建内控风险点分析与防控措施</w:t>
      </w:r>
    </w:p>
    <w:p w14:paraId="08EA0C2A">
      <w:pPr>
        <w:pStyle w:val="3"/>
        <w:spacing w:line="360" w:lineRule="auto"/>
        <w:ind w:firstLine="659" w:firstLineChars="200"/>
        <w:rPr>
          <w:rFonts w:hint="eastAsia" w:ascii="仿宋_GB2312" w:eastAsia="仿宋_GB2312"/>
          <w:b/>
          <w:bCs/>
          <w:spacing w:val="4"/>
          <w:lang w:eastAsia="zh-CN"/>
        </w:rPr>
      </w:pPr>
      <w:r>
        <w:rPr>
          <w:rFonts w:hint="eastAsia" w:ascii="仿宋_GB2312" w:eastAsia="仿宋_GB2312"/>
          <w:b/>
          <w:bCs/>
          <w:spacing w:val="4"/>
          <w:lang w:eastAsia="zh-CN"/>
        </w:rPr>
        <w:t>专题十：公立医院医务管理内控建设与实践</w:t>
      </w:r>
    </w:p>
    <w:p w14:paraId="15E14C5A">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1.公立医院医务管理概述</w:t>
      </w:r>
    </w:p>
    <w:p w14:paraId="7F3ADFCA">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2.医务管理内控评价指标体系构建及实施</w:t>
      </w:r>
    </w:p>
    <w:p w14:paraId="10A847CD">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3.医务管理内控成效</w:t>
      </w:r>
    </w:p>
    <w:p w14:paraId="22D745A3">
      <w:pPr>
        <w:pStyle w:val="3"/>
        <w:spacing w:line="360" w:lineRule="auto"/>
        <w:ind w:firstLine="659" w:firstLineChars="200"/>
        <w:rPr>
          <w:rFonts w:hint="eastAsia" w:ascii="仿宋_GB2312" w:eastAsia="仿宋_GB2312"/>
          <w:b/>
          <w:bCs/>
          <w:spacing w:val="4"/>
          <w:lang w:eastAsia="zh-CN"/>
        </w:rPr>
      </w:pPr>
      <w:r>
        <w:rPr>
          <w:rFonts w:hint="eastAsia" w:ascii="仿宋_GB2312" w:eastAsia="仿宋_GB2312"/>
          <w:b/>
          <w:bCs/>
          <w:spacing w:val="4"/>
          <w:lang w:eastAsia="zh-CN"/>
        </w:rPr>
        <w:t>专题十一：公立医院护理管理内控建设与实践</w:t>
      </w:r>
    </w:p>
    <w:p w14:paraId="3797409A">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1.公立医院护理管理概述</w:t>
      </w:r>
    </w:p>
    <w:p w14:paraId="40962B3D">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2.护理管理内控评价指标体系构建及实施</w:t>
      </w:r>
    </w:p>
    <w:p w14:paraId="5C058E16">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3.护理管理内控成效</w:t>
      </w:r>
    </w:p>
    <w:p w14:paraId="5C28D468">
      <w:pPr>
        <w:pStyle w:val="3"/>
        <w:spacing w:line="360" w:lineRule="auto"/>
        <w:ind w:firstLine="659" w:firstLineChars="200"/>
        <w:rPr>
          <w:rFonts w:hint="eastAsia" w:ascii="仿宋_GB2312" w:eastAsia="仿宋_GB2312"/>
          <w:b/>
          <w:bCs/>
          <w:spacing w:val="4"/>
          <w:lang w:eastAsia="zh-CN"/>
        </w:rPr>
      </w:pPr>
      <w:r>
        <w:rPr>
          <w:rFonts w:hint="eastAsia" w:ascii="仿宋_GB2312" w:eastAsia="仿宋_GB2312"/>
          <w:b/>
          <w:bCs/>
          <w:spacing w:val="4"/>
          <w:lang w:eastAsia="zh-CN"/>
        </w:rPr>
        <w:t>专题十二：医院科研管理内部控制实践</w:t>
      </w:r>
    </w:p>
    <w:p w14:paraId="256981A2">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1.科研项目内部控制建设</w:t>
      </w:r>
    </w:p>
    <w:p w14:paraId="5B9EF440">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2.科研平台内部控制建设</w:t>
      </w:r>
    </w:p>
    <w:p w14:paraId="7C0D1144">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3.科研诚信内部控制建设</w:t>
      </w:r>
    </w:p>
    <w:p w14:paraId="1C5C4BA0">
      <w:pPr>
        <w:pStyle w:val="3"/>
        <w:spacing w:line="360" w:lineRule="auto"/>
        <w:ind w:firstLine="659" w:firstLineChars="200"/>
        <w:rPr>
          <w:rFonts w:hint="eastAsia" w:ascii="仿宋_GB2312" w:eastAsia="仿宋_GB2312"/>
          <w:b/>
          <w:bCs/>
          <w:spacing w:val="4"/>
          <w:lang w:eastAsia="zh-CN"/>
        </w:rPr>
      </w:pPr>
      <w:r>
        <w:rPr>
          <w:rFonts w:hint="eastAsia" w:ascii="仿宋_GB2312" w:eastAsia="仿宋_GB2312"/>
          <w:b/>
          <w:bCs/>
          <w:spacing w:val="4"/>
          <w:lang w:eastAsia="zh-CN"/>
        </w:rPr>
        <w:t>专题十三：医院教学业务内部控制建设实践</w:t>
      </w:r>
    </w:p>
    <w:p w14:paraId="1BCDFE96">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1.教学业绩管理内部控制建设</w:t>
      </w:r>
    </w:p>
    <w:p w14:paraId="48AC8294">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2.考务工作内部控制建设</w:t>
      </w:r>
    </w:p>
    <w:p w14:paraId="1D1A498D">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3.实习生管理内部控制建设</w:t>
      </w:r>
    </w:p>
    <w:p w14:paraId="14845B46">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4.转专业工作内部控制建设</w:t>
      </w:r>
    </w:p>
    <w:p w14:paraId="34AE56FC">
      <w:pPr>
        <w:pStyle w:val="3"/>
        <w:spacing w:line="360" w:lineRule="auto"/>
        <w:ind w:firstLine="659" w:firstLineChars="200"/>
        <w:rPr>
          <w:rFonts w:hint="eastAsia" w:ascii="仿宋_GB2312" w:eastAsia="仿宋_GB2312"/>
          <w:b/>
          <w:bCs/>
          <w:spacing w:val="4"/>
          <w:lang w:eastAsia="zh-CN"/>
        </w:rPr>
      </w:pPr>
      <w:r>
        <w:rPr>
          <w:rFonts w:hint="eastAsia" w:ascii="仿宋_GB2312" w:eastAsia="仿宋_GB2312"/>
          <w:b/>
          <w:bCs/>
          <w:spacing w:val="4"/>
          <w:lang w:eastAsia="zh-CN"/>
        </w:rPr>
        <w:t>专题十四：信息化驱动医院内部控制体系优化</w:t>
      </w:r>
    </w:p>
    <w:p w14:paraId="1F4BD11F">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1.医院内部控制信息化转型概述</w:t>
      </w:r>
    </w:p>
    <w:p w14:paraId="3AA2685B">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2.信息管理的内控建设与实施</w:t>
      </w:r>
    </w:p>
    <w:p w14:paraId="038A3996">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3.信息化手段在内控建设中的应用</w:t>
      </w:r>
    </w:p>
    <w:p w14:paraId="5535DA81">
      <w:pPr>
        <w:spacing w:line="360" w:lineRule="auto"/>
        <w:ind w:firstLine="643" w:firstLineChars="200"/>
        <w:rPr>
          <w:rFonts w:hint="eastAsia" w:ascii="仿宋_GB2312" w:hAnsi="华文仿宋" w:eastAsia="仿宋_GB2312" w:cs="华文仿宋"/>
          <w:b/>
          <w:bCs/>
          <w:sz w:val="32"/>
          <w:szCs w:val="32"/>
          <w:highlight w:val="yellow"/>
          <w:lang w:eastAsia="zh-CN"/>
        </w:rPr>
      </w:pPr>
      <w:bookmarkStart w:id="2" w:name="_GoBack"/>
      <w:r>
        <w:rPr>
          <w:rFonts w:hint="eastAsia" w:ascii="仿宋_GB2312" w:hAnsi="华文仿宋" w:eastAsia="仿宋_GB2312" w:cs="华文仿宋"/>
          <w:b/>
          <w:bCs/>
          <w:sz w:val="32"/>
          <w:szCs w:val="32"/>
          <w:highlight w:val="yellow"/>
          <w:lang w:eastAsia="zh-CN"/>
        </w:rPr>
        <w:t>专题十五：跟岗培训（可串岗）</w:t>
      </w:r>
    </w:p>
    <w:p w14:paraId="6C98FFF7">
      <w:pPr>
        <w:spacing w:line="360" w:lineRule="auto"/>
        <w:ind w:firstLine="640" w:firstLineChars="200"/>
        <w:rPr>
          <w:rFonts w:ascii="仿宋_GB2312" w:hAnsi="华文仿宋" w:eastAsia="仿宋_GB2312" w:cs="华文仿宋"/>
          <w:sz w:val="32"/>
          <w:szCs w:val="32"/>
          <w:highlight w:val="yellow"/>
          <w:lang w:eastAsia="zh-CN"/>
        </w:rPr>
      </w:pPr>
      <w:r>
        <w:rPr>
          <w:rFonts w:hint="eastAsia" w:ascii="仿宋_GB2312" w:hAnsi="华文仿宋" w:eastAsia="仿宋_GB2312" w:cs="华文仿宋"/>
          <w:sz w:val="32"/>
          <w:szCs w:val="32"/>
          <w:highlight w:val="yellow"/>
          <w:lang w:eastAsia="zh-CN"/>
        </w:rPr>
        <w:t>跟岗时间为3月28日下午，半天。</w:t>
      </w:r>
    </w:p>
    <w:p w14:paraId="14FC9202">
      <w:pPr>
        <w:spacing w:line="360" w:lineRule="auto"/>
        <w:ind w:firstLine="640" w:firstLineChars="200"/>
        <w:rPr>
          <w:rFonts w:hint="default" w:ascii="仿宋_GB2312" w:hAnsi="华文仿宋" w:eastAsia="仿宋_GB2312" w:cs="华文仿宋"/>
          <w:sz w:val="32"/>
          <w:szCs w:val="32"/>
          <w:highlight w:val="yellow"/>
          <w:lang w:val="en-US" w:eastAsia="zh-CN"/>
        </w:rPr>
      </w:pPr>
      <w:r>
        <w:rPr>
          <w:rFonts w:hint="eastAsia" w:ascii="仿宋_GB2312" w:hAnsi="华文仿宋" w:eastAsia="仿宋_GB2312" w:cs="华文仿宋"/>
          <w:sz w:val="32"/>
          <w:szCs w:val="32"/>
          <w:highlight w:val="yellow"/>
          <w:lang w:eastAsia="zh-CN"/>
        </w:rPr>
        <w:t>跟岗岗位为5个，分别是：</w:t>
      </w:r>
      <w:r>
        <w:rPr>
          <w:rFonts w:hint="eastAsia" w:ascii="仿宋_GB2312" w:hAnsi="华文仿宋" w:eastAsia="仿宋_GB2312" w:cs="华文仿宋"/>
          <w:sz w:val="32"/>
          <w:szCs w:val="32"/>
          <w:highlight w:val="yellow"/>
          <w:lang w:val="en-US" w:eastAsia="zh-CN"/>
        </w:rPr>
        <w:t>预算管理、资产管理、采购管理、耗材管理、综合结算管理</w:t>
      </w:r>
    </w:p>
    <w:p w14:paraId="40C80A09">
      <w:pPr>
        <w:spacing w:line="360" w:lineRule="auto"/>
        <w:ind w:firstLine="640" w:firstLineChars="200"/>
        <w:rPr>
          <w:rFonts w:hint="eastAsia" w:ascii="仿宋_GB2312" w:hAnsi="华文仿宋" w:eastAsia="仿宋_GB2312" w:cs="华文仿宋"/>
          <w:sz w:val="32"/>
          <w:szCs w:val="32"/>
          <w:lang w:eastAsia="zh-CN"/>
        </w:rPr>
      </w:pPr>
      <w:r>
        <w:rPr>
          <w:rFonts w:hint="eastAsia" w:ascii="仿宋_GB2312" w:hAnsi="华文仿宋" w:eastAsia="仿宋_GB2312" w:cs="华文仿宋"/>
          <w:sz w:val="32"/>
          <w:szCs w:val="32"/>
          <w:highlight w:val="yellow"/>
          <w:lang w:eastAsia="zh-CN"/>
        </w:rPr>
        <w:t>跟岗有名额限制，共计60人左右。</w:t>
      </w:r>
    </w:p>
    <w:bookmarkEnd w:id="2"/>
    <w:p w14:paraId="68CFF0C1">
      <w:pPr>
        <w:pStyle w:val="2"/>
        <w:spacing w:before="156" w:beforeLines="50" w:after="156" w:afterLines="50" w:line="240" w:lineRule="auto"/>
        <w:ind w:firstLine="643"/>
        <w:rPr>
          <w:rFonts w:hint="eastAsia" w:ascii="黑体" w:hAnsi="黑体" w:eastAsia="黑体" w:cs="黑体"/>
          <w:sz w:val="32"/>
        </w:rPr>
      </w:pPr>
      <w:r>
        <w:rPr>
          <w:rFonts w:hint="eastAsia" w:ascii="黑体" w:hAnsi="黑体" w:eastAsia="黑体" w:cs="黑体"/>
          <w:sz w:val="32"/>
        </w:rPr>
        <w:t>五、报名咨询</w:t>
      </w:r>
    </w:p>
    <w:p w14:paraId="1A1FFC88">
      <w:pPr>
        <w:spacing w:line="360" w:lineRule="auto"/>
        <w:ind w:firstLine="643" w:firstLineChars="200"/>
        <w:rPr>
          <w:rFonts w:hint="eastAsia" w:ascii="仿宋_GB2312" w:hAnsi="华文仿宋" w:eastAsia="仿宋_GB2312" w:cs="华文仿宋"/>
          <w:b/>
          <w:bCs/>
          <w:sz w:val="32"/>
          <w:szCs w:val="32"/>
          <w:lang w:eastAsia="zh-CN"/>
        </w:rPr>
      </w:pPr>
      <w:r>
        <w:rPr>
          <w:rFonts w:hint="eastAsia" w:ascii="仿宋_GB2312" w:hAnsi="华文仿宋" w:eastAsia="仿宋_GB2312" w:cs="华文仿宋"/>
          <w:b/>
          <w:bCs/>
          <w:sz w:val="32"/>
          <w:szCs w:val="32"/>
          <w:lang w:eastAsia="zh-CN"/>
        </w:rPr>
        <w:t>会务组联系方式</w:t>
      </w:r>
    </w:p>
    <w:p w14:paraId="5827B1AA">
      <w:pPr>
        <w:spacing w:line="360" w:lineRule="auto"/>
        <w:ind w:firstLine="640" w:firstLineChars="200"/>
        <w:rPr>
          <w:rFonts w:hint="eastAsia" w:ascii="仿宋_GB2312" w:hAnsi="华文仿宋" w:eastAsia="仿宋_GB2312" w:cs="华文仿宋"/>
          <w:sz w:val="32"/>
          <w:szCs w:val="32"/>
          <w:lang w:eastAsia="zh-CN"/>
        </w:rPr>
      </w:pPr>
      <w:r>
        <w:rPr>
          <w:rFonts w:hint="eastAsia" w:ascii="仿宋_GB2312" w:hAnsi="华文仿宋" w:eastAsia="仿宋_GB2312" w:cs="华文仿宋"/>
          <w:sz w:val="32"/>
          <w:szCs w:val="32"/>
          <w:lang w:eastAsia="zh-CN"/>
        </w:rPr>
        <w:t>联系人：李老师 18906415326（同微信）</w:t>
      </w:r>
    </w:p>
    <w:p w14:paraId="05D7B2CF">
      <w:pPr>
        <w:spacing w:line="360" w:lineRule="auto"/>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报名邮箱：18906415326@163.com</w:t>
      </w:r>
    </w:p>
    <w:p w14:paraId="3EF35FD4">
      <w:pPr>
        <w:spacing w:line="360" w:lineRule="auto"/>
        <w:ind w:firstLine="643" w:firstLineChars="200"/>
        <w:rPr>
          <w:rFonts w:hint="eastAsia" w:ascii="仿宋_GB2312" w:hAnsi="华文仿宋" w:eastAsia="仿宋_GB2312" w:cs="华文仿宋"/>
          <w:b/>
          <w:bCs/>
          <w:sz w:val="32"/>
          <w:szCs w:val="32"/>
        </w:rPr>
      </w:pPr>
      <w:r>
        <w:rPr>
          <w:rFonts w:hint="eastAsia" w:ascii="仿宋_GB2312" w:hAnsi="华文仿宋" w:eastAsia="仿宋_GB2312" w:cs="华文仿宋"/>
          <w:b/>
          <w:bCs/>
          <w:sz w:val="32"/>
          <w:szCs w:val="32"/>
        </w:rPr>
        <w:t>上海国家会计学院项目组</w:t>
      </w:r>
    </w:p>
    <w:p w14:paraId="0C53FDF9">
      <w:pPr>
        <w:spacing w:line="360" w:lineRule="auto"/>
        <w:ind w:firstLine="640" w:firstLineChars="200"/>
        <w:rPr>
          <w:rFonts w:hint="eastAsia" w:ascii="仿宋_GB2312" w:hAnsi="华文仿宋" w:eastAsia="仿宋_GB2312" w:cs="华文仿宋"/>
          <w:sz w:val="32"/>
          <w:szCs w:val="32"/>
          <w:lang w:eastAsia="zh-CN"/>
        </w:rPr>
      </w:pPr>
      <w:r>
        <w:rPr>
          <w:rFonts w:hint="eastAsia" w:ascii="仿宋_GB2312" w:hAnsi="华文仿宋" w:eastAsia="仿宋_GB2312" w:cs="华文仿宋"/>
          <w:sz w:val="32"/>
          <w:szCs w:val="32"/>
          <w:lang w:eastAsia="zh-CN"/>
        </w:rPr>
        <w:t xml:space="preserve">联系人：赵老师  18121168081 </w:t>
      </w:r>
    </w:p>
    <w:p w14:paraId="0D42F57A">
      <w:pPr>
        <w:pStyle w:val="2"/>
        <w:spacing w:before="156" w:beforeLines="50" w:after="156" w:afterLines="50" w:line="240" w:lineRule="auto"/>
        <w:ind w:firstLine="643"/>
        <w:rPr>
          <w:rFonts w:hint="eastAsia" w:ascii="黑体" w:hAnsi="黑体" w:eastAsia="黑体" w:cs="黑体"/>
          <w:sz w:val="32"/>
        </w:rPr>
      </w:pPr>
      <w:r>
        <w:rPr>
          <w:rFonts w:hint="eastAsia" w:ascii="黑体" w:hAnsi="黑体" w:eastAsia="黑体" w:cs="黑体"/>
          <w:sz w:val="32"/>
        </w:rPr>
        <w:t>六、收费标准及缴费方式</w:t>
      </w:r>
    </w:p>
    <w:p w14:paraId="41348C01">
      <w:pPr>
        <w:pStyle w:val="3"/>
        <w:spacing w:line="360" w:lineRule="auto"/>
        <w:ind w:firstLine="656" w:firstLineChars="200"/>
        <w:rPr>
          <w:rFonts w:hint="eastAsia" w:ascii="仿宋_GB2312" w:hAnsi="华文仿宋" w:eastAsia="仿宋_GB2312" w:cs="华文仿宋"/>
          <w:lang w:eastAsia="zh-CN"/>
        </w:rPr>
      </w:pPr>
      <w:r>
        <w:rPr>
          <w:rFonts w:hint="eastAsia" w:ascii="仿宋_GB2312" w:eastAsia="仿宋_GB2312"/>
          <w:spacing w:val="4"/>
          <w:lang w:eastAsia="zh-CN"/>
        </w:rPr>
        <w:t>1．案例课程培训费（不含食宿）：人民币3600元/人/2.5天。</w:t>
      </w:r>
      <w:r>
        <w:rPr>
          <w:rFonts w:hint="eastAsia" w:ascii="仿宋_GB2312" w:hAnsi="华文仿宋" w:eastAsia="仿宋_GB2312" w:cs="华文仿宋"/>
          <w:lang w:eastAsia="zh-CN"/>
        </w:rPr>
        <w:t>跟岗培训费1000元/人/0.5天。</w:t>
      </w:r>
    </w:p>
    <w:p w14:paraId="5CD00FC0">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培训费发票由上海国家会计学院开具。</w:t>
      </w:r>
    </w:p>
    <w:p w14:paraId="7B54F806">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2．食宿费：按实结算，费用自理。</w:t>
      </w:r>
    </w:p>
    <w:p w14:paraId="34F92F10">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食宿费发票由酒店开具。</w:t>
      </w:r>
    </w:p>
    <w:p w14:paraId="568F4B62">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3．请将培训费（不含食宿）汇至以下账户：</w:t>
      </w:r>
    </w:p>
    <w:p w14:paraId="524BCEE2">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学院开户行：中国建设银行上海徐泾支行</w:t>
      </w:r>
    </w:p>
    <w:p w14:paraId="414C9D9A">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单位名称：上海国家会计学院</w:t>
      </w:r>
    </w:p>
    <w:p w14:paraId="3346ED32">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汇款账号：31001984300059768088</w:t>
      </w:r>
    </w:p>
    <w:p w14:paraId="43065F3F">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汇款请备注：单位或学员姓名+课程简称，例如“张三+温医二院”</w:t>
      </w:r>
    </w:p>
    <w:p w14:paraId="6680C3AF">
      <w:pPr>
        <w:pStyle w:val="2"/>
        <w:spacing w:before="156" w:beforeLines="50" w:after="156" w:afterLines="50" w:line="240" w:lineRule="auto"/>
        <w:ind w:firstLine="643"/>
        <w:rPr>
          <w:rFonts w:hint="eastAsia" w:ascii="黑体" w:hAnsi="黑体" w:eastAsia="黑体" w:cs="黑体"/>
          <w:sz w:val="32"/>
        </w:rPr>
      </w:pPr>
      <w:r>
        <w:rPr>
          <w:rFonts w:hint="eastAsia" w:ascii="黑体" w:hAnsi="黑体" w:eastAsia="黑体" w:cs="黑体"/>
          <w:sz w:val="32"/>
        </w:rPr>
        <w:t>七、结业及考核</w:t>
      </w:r>
    </w:p>
    <w:p w14:paraId="74DFFB92">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完成全部课程，颁发上海国家会计学院结业证书(标注学时)。</w:t>
      </w:r>
    </w:p>
    <w:p w14:paraId="4FC2F890">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附件一：课程特色</w:t>
      </w:r>
    </w:p>
    <w:p w14:paraId="05C69524">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附件二：报名回执表</w:t>
      </w:r>
    </w:p>
    <w:p w14:paraId="5BE7A1B0">
      <w:pPr>
        <w:pStyle w:val="3"/>
        <w:spacing w:line="360" w:lineRule="auto"/>
        <w:ind w:firstLine="656" w:firstLineChars="200"/>
        <w:rPr>
          <w:rFonts w:hint="eastAsia" w:ascii="仿宋_GB2312" w:eastAsia="仿宋_GB2312"/>
          <w:spacing w:val="4"/>
          <w:lang w:eastAsia="zh-CN"/>
        </w:rPr>
      </w:pPr>
      <w:r>
        <w:rPr>
          <w:rFonts w:hint="eastAsia" w:ascii="仿宋_GB2312" w:eastAsia="仿宋_GB2312"/>
          <w:spacing w:val="4"/>
          <w:lang w:eastAsia="zh-CN"/>
        </w:rPr>
        <w:t>附件三：上海国家会计学院简介</w:t>
      </w:r>
    </w:p>
    <w:p w14:paraId="18F8EFA9">
      <w:pPr>
        <w:pStyle w:val="3"/>
        <w:spacing w:line="360" w:lineRule="auto"/>
        <w:ind w:firstLine="656" w:firstLineChars="200"/>
        <w:rPr>
          <w:rFonts w:hint="eastAsia" w:ascii="仿宋_GB2312" w:eastAsia="仿宋_GB2312"/>
          <w:spacing w:val="4"/>
          <w:lang w:eastAsia="zh-CN"/>
        </w:rPr>
      </w:pPr>
    </w:p>
    <w:p w14:paraId="089A1A64">
      <w:pPr>
        <w:pStyle w:val="3"/>
        <w:spacing w:line="360" w:lineRule="auto"/>
        <w:ind w:firstLine="656" w:firstLineChars="200"/>
        <w:rPr>
          <w:rFonts w:hint="eastAsia" w:ascii="仿宋_GB2312" w:eastAsia="仿宋_GB2312"/>
          <w:spacing w:val="4"/>
          <w:lang w:eastAsia="zh-CN"/>
        </w:rPr>
      </w:pPr>
    </w:p>
    <w:p w14:paraId="7B64D904">
      <w:pPr>
        <w:pStyle w:val="3"/>
        <w:spacing w:line="360" w:lineRule="auto"/>
        <w:ind w:firstLine="656" w:firstLineChars="200"/>
        <w:rPr>
          <w:rFonts w:hint="eastAsia" w:ascii="仿宋_GB2312" w:eastAsia="仿宋_GB2312"/>
          <w:spacing w:val="4"/>
          <w:lang w:eastAsia="zh-CN"/>
        </w:rPr>
      </w:pPr>
    </w:p>
    <w:p w14:paraId="2E97F294">
      <w:pPr>
        <w:pStyle w:val="3"/>
        <w:spacing w:line="360" w:lineRule="auto"/>
        <w:ind w:firstLine="656" w:firstLineChars="200"/>
        <w:jc w:val="right"/>
        <w:rPr>
          <w:rFonts w:hint="eastAsia" w:ascii="仿宋_GB2312" w:eastAsia="仿宋_GB2312"/>
          <w:spacing w:val="4"/>
          <w:lang w:eastAsia="zh-CN"/>
        </w:rPr>
      </w:pPr>
    </w:p>
    <w:p w14:paraId="0E9A6093">
      <w:pPr>
        <w:pStyle w:val="3"/>
        <w:spacing w:line="360" w:lineRule="auto"/>
        <w:ind w:firstLine="640" w:firstLineChars="200"/>
        <w:jc w:val="right"/>
        <w:rPr>
          <w:rFonts w:hint="eastAsia" w:ascii="仿宋_GB2312" w:hAnsi="Songti SC" w:eastAsia="仿宋_GB2312" w:cs="Times New Roman"/>
          <w:lang w:eastAsia="zh-CN"/>
        </w:rPr>
      </w:pPr>
      <w:r>
        <w:rPr>
          <w:rFonts w:hint="eastAsia" w:ascii="仿宋_GB2312" w:hAnsi="Songti SC" w:eastAsia="仿宋_GB2312" w:cs="Times New Roman"/>
          <w:lang w:eastAsia="zh-CN"/>
        </w:rPr>
        <w:t>上海国家会计学院教务二部</w:t>
      </w:r>
    </w:p>
    <w:p w14:paraId="5377B27B">
      <w:pPr>
        <w:ind w:right="640" w:firstLine="640" w:firstLineChars="200"/>
        <w:jc w:val="right"/>
        <w:rPr>
          <w:rFonts w:hint="eastAsia" w:ascii="仿宋_GB2312" w:hAnsi="Songti SC" w:eastAsia="仿宋_GB2312" w:cs="Times New Roman"/>
          <w:sz w:val="32"/>
          <w:szCs w:val="32"/>
          <w:lang w:eastAsia="zh-CN"/>
        </w:rPr>
      </w:pPr>
      <w:r>
        <w:rPr>
          <w:rFonts w:hint="eastAsia" w:ascii="仿宋_GB2312" w:hAnsi="Songti SC" w:eastAsia="仿宋_GB2312" w:cs="Times New Roman"/>
          <w:sz w:val="32"/>
          <w:szCs w:val="32"/>
          <w:lang w:eastAsia="zh-CN"/>
        </w:rPr>
        <w:t>2025年1月</w:t>
      </w:r>
      <w:bookmarkStart w:id="0" w:name="_Hlk8036622"/>
    </w:p>
    <w:p w14:paraId="3206F2AC">
      <w:pPr>
        <w:ind w:firstLine="560" w:firstLineChars="200"/>
        <w:jc w:val="right"/>
        <w:rPr>
          <w:rFonts w:hint="eastAsia" w:ascii="仿宋_GB2312" w:hAnsi="Songti SC" w:eastAsia="仿宋_GB2312" w:cs="Times New Roman"/>
          <w:sz w:val="32"/>
          <w:szCs w:val="32"/>
          <w:lang w:eastAsia="zh-CN"/>
        </w:rPr>
      </w:pPr>
      <w:r>
        <w:rPr>
          <w:rFonts w:ascii="微软雅黑" w:hAnsi="微软雅黑" w:eastAsia="微软雅黑"/>
          <w:sz w:val="28"/>
          <w:szCs w:val="28"/>
        </w:rPr>
        <mc:AlternateContent>
          <mc:Choice Requires="wps">
            <w:drawing>
              <wp:anchor distT="0" distB="0" distL="114300" distR="114300" simplePos="0" relativeHeight="251660288" behindDoc="0" locked="0" layoutInCell="1" allowOverlap="1">
                <wp:simplePos x="0" y="0"/>
                <wp:positionH relativeFrom="column">
                  <wp:posOffset>-207010</wp:posOffset>
                </wp:positionH>
                <wp:positionV relativeFrom="paragraph">
                  <wp:posOffset>321945</wp:posOffset>
                </wp:positionV>
                <wp:extent cx="5676900" cy="9525"/>
                <wp:effectExtent l="0" t="0" r="19050" b="28575"/>
                <wp:wrapNone/>
                <wp:docPr id="1" name="Line 4"/>
                <wp:cNvGraphicFramePr/>
                <a:graphic xmlns:a="http://schemas.openxmlformats.org/drawingml/2006/main">
                  <a:graphicData uri="http://schemas.microsoft.com/office/word/2010/wordprocessingShape">
                    <wps:wsp>
                      <wps:cNvCnPr>
                        <a:cxnSpLocks noChangeShapeType="1"/>
                      </wps:cNvCnPr>
                      <wps:spPr bwMode="auto">
                        <a:xfrm flipV="1">
                          <a:off x="0" y="0"/>
                          <a:ext cx="5676900" cy="9525"/>
                        </a:xfrm>
                        <a:prstGeom prst="line">
                          <a:avLst/>
                        </a:prstGeom>
                        <a:noFill/>
                        <a:ln w="19050">
                          <a:solidFill>
                            <a:schemeClr val="dk1">
                              <a:lumMod val="100000"/>
                              <a:lumOff val="0"/>
                            </a:schemeClr>
                          </a:solidFill>
                          <a:miter lim="800000"/>
                        </a:ln>
                      </wps:spPr>
                      <wps:bodyPr/>
                    </wps:wsp>
                  </a:graphicData>
                </a:graphic>
              </wp:anchor>
            </w:drawing>
          </mc:Choice>
          <mc:Fallback>
            <w:pict>
              <v:line id="Line 4" o:spid="_x0000_s1026" o:spt="20" style="position:absolute;left:0pt;flip:y;margin-left:-16.3pt;margin-top:25.35pt;height:0.75pt;width:447pt;z-index:251660288;mso-width-relative:page;mso-height-relative:page;" filled="f" stroked="t" coordsize="21600,21600" o:gfxdata="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JsYkrYAAAACQEAAA8AAAAAAAAAAQAgAAAAIgAAAGRycy9kb3ducmV2LnhtbFBLAQIUABQAAAAI&#10;AIdO4kCO4tHb7QEAAPADAAAOAAAAAAAAAAEAIAAAACcBAABkcnMvZTJvRG9jLnhtbFBLBQYAAAAA&#10;BgAGAFkBAACGBQAAAAA=&#10;">
                <v:fill on="f" focussize="0,0"/>
                <v:stroke weight="1.5pt" color="#000000 [3216]" miterlimit="8" joinstyle="miter"/>
                <v:imagedata o:title=""/>
                <o:lock v:ext="edit" aspectratio="f"/>
              </v:line>
            </w:pict>
          </mc:Fallback>
        </mc:AlternateContent>
      </w:r>
    </w:p>
    <w:p w14:paraId="09411245">
      <w:pPr>
        <w:rPr>
          <w:rFonts w:hint="eastAsia" w:ascii="仿宋_GB2312" w:hAnsi="微软雅黑" w:eastAsia="仿宋_GB2312"/>
          <w:sz w:val="28"/>
          <w:szCs w:val="28"/>
          <w:lang w:eastAsia="zh-CN"/>
        </w:rPr>
      </w:pPr>
    </w:p>
    <w:p w14:paraId="4F989018">
      <w:pPr>
        <w:rPr>
          <w:rFonts w:hint="eastAsia" w:ascii="仿宋_GB2312" w:hAnsi="微软雅黑" w:eastAsia="仿宋_GB2312"/>
          <w:sz w:val="28"/>
          <w:szCs w:val="28"/>
          <w:lang w:eastAsia="zh-CN"/>
        </w:rPr>
      </w:pPr>
      <w:r>
        <w:rPr>
          <w:rFonts w:hint="eastAsia" w:ascii="仿宋_GB2312" w:hAnsi="微软雅黑" w:eastAsia="仿宋_GB2312"/>
          <w:sz w:val="28"/>
          <w:szCs w:val="28"/>
          <w:lang w:eastAsia="zh-CN"/>
        </w:rPr>
        <w:t xml:space="preserve">上海国家会计学院教务二部                    </w:t>
      </w:r>
      <w:r>
        <w:rPr>
          <w:rFonts w:ascii="仿宋_GB2312" w:hAnsi="微软雅黑" w:eastAsia="仿宋_GB2312"/>
          <w:sz w:val="28"/>
          <w:szCs w:val="28"/>
          <w:lang w:eastAsia="zh-CN"/>
        </w:rPr>
        <w:t xml:space="preserve">  </w:t>
      </w:r>
      <w:r>
        <w:rPr>
          <w:rFonts w:hint="eastAsia" w:ascii="仿宋_GB2312" w:hAnsi="微软雅黑" w:eastAsia="仿宋_GB2312"/>
          <w:sz w:val="28"/>
          <w:szCs w:val="28"/>
          <w:lang w:eastAsia="zh-CN"/>
        </w:rPr>
        <w:t>2025年1月印</w:t>
      </w:r>
      <w:bookmarkEnd w:id="0"/>
    </w:p>
    <w:p w14:paraId="00481BE4">
      <w:pPr>
        <w:rPr>
          <w:rFonts w:hint="eastAsia" w:ascii="微软雅黑" w:hAnsi="微软雅黑" w:eastAsia="微软雅黑"/>
          <w:sz w:val="28"/>
          <w:szCs w:val="28"/>
          <w:lang w:eastAsia="zh-CN"/>
        </w:rPr>
      </w:pPr>
      <w:r>
        <w:rPr>
          <w:rFonts w:ascii="微软雅黑" w:hAnsi="微软雅黑" w:eastAsia="微软雅黑" w:cs="宋体"/>
          <w:sz w:val="28"/>
          <w:szCs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80010</wp:posOffset>
                </wp:positionV>
                <wp:extent cx="5657850" cy="9525"/>
                <wp:effectExtent l="0" t="0" r="19050" b="2857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5657850" cy="9525"/>
                        </a:xfrm>
                        <a:prstGeom prst="line">
                          <a:avLst/>
                        </a:prstGeom>
                        <a:noFill/>
                        <a:ln w="15875">
                          <a:solidFill>
                            <a:srgbClr val="000000"/>
                          </a:solidFill>
                          <a:round/>
                        </a:ln>
                      </wps:spPr>
                      <wps:bodyPr/>
                    </wps:wsp>
                  </a:graphicData>
                </a:graphic>
              </wp:anchor>
            </w:drawing>
          </mc:Choice>
          <mc:Fallback>
            <w:pict>
              <v:line id="_x0000_s1026" o:spid="_x0000_s1026" o:spt="20" style="position:absolute;left:0pt;flip:y;margin-top:6.3pt;height:0.75pt;width:445.5pt;mso-position-horizontal:center;mso-position-horizontal-relative:margin;z-index:251661312;mso-width-relative:page;mso-height-relative:page;" filled="f" stroked="t" coordsize="21600,21600" o:gfxdata="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C6&#10;M2zTAAAABgEAAA8AAAAAAAAAAQAgAAAAIgAAAGRycy9kb3ducmV2LnhtbFBLAQIUABQAAAAIAIdO&#10;4kB/xE327wEAALgDAAAOAAAAAAAAAAEAIAAAACIBAABkcnMvZTJvRG9jLnhtbFBLBQYAAAAABgAG&#10;AFkBAACDBQAAAAA=&#10;">
                <v:fill on="f" focussize="0,0"/>
                <v:stroke weight="1.25pt" color="#000000" joinstyle="round"/>
                <v:imagedata o:title=""/>
                <o:lock v:ext="edit" aspectratio="f"/>
              </v:line>
            </w:pict>
          </mc:Fallback>
        </mc:AlternateContent>
      </w:r>
    </w:p>
    <w:p w14:paraId="6497B9EE">
      <w:pPr>
        <w:rPr>
          <w:rFonts w:hint="eastAsia" w:ascii="微软雅黑" w:hAnsi="微软雅黑" w:eastAsia="微软雅黑"/>
          <w:sz w:val="28"/>
          <w:szCs w:val="28"/>
          <w:lang w:eastAsia="zh-CN"/>
        </w:rPr>
      </w:pPr>
    </w:p>
    <w:p w14:paraId="07521586">
      <w:pPr>
        <w:rPr>
          <w:rFonts w:hint="eastAsia" w:ascii="仿宋" w:hAnsi="仿宋" w:eastAsia="仿宋" w:cs="仿宋"/>
          <w:spacing w:val="4"/>
          <w:sz w:val="32"/>
          <w:szCs w:val="32"/>
          <w:lang w:eastAsia="zh-CN"/>
        </w:rPr>
      </w:pPr>
    </w:p>
    <w:p w14:paraId="4BF47BE2">
      <w:pPr>
        <w:rPr>
          <w:rFonts w:ascii="仿宋" w:hAnsi="仿宋" w:eastAsia="仿宋" w:cs="仿宋"/>
          <w:spacing w:val="4"/>
          <w:sz w:val="32"/>
          <w:szCs w:val="32"/>
          <w:lang w:eastAsia="zh-CN"/>
        </w:rPr>
      </w:pPr>
    </w:p>
    <w:p w14:paraId="089C5853">
      <w:pPr>
        <w:rPr>
          <w:rFonts w:hint="eastAsia" w:ascii="仿宋" w:hAnsi="仿宋" w:eastAsia="仿宋" w:cs="仿宋"/>
          <w:spacing w:val="4"/>
          <w:sz w:val="32"/>
          <w:szCs w:val="32"/>
          <w:lang w:eastAsia="zh-CN"/>
        </w:rPr>
      </w:pPr>
    </w:p>
    <w:p w14:paraId="059FFAEB">
      <w:pPr>
        <w:pStyle w:val="3"/>
        <w:spacing w:before="312" w:beforeLines="100" w:after="312" w:afterLines="100" w:line="360" w:lineRule="auto"/>
        <w:rPr>
          <w:rFonts w:hint="eastAsia"/>
          <w:b/>
          <w:bCs/>
          <w:spacing w:val="4"/>
          <w:lang w:eastAsia="zh-CN"/>
        </w:rPr>
      </w:pPr>
      <w:r>
        <w:rPr>
          <w:rFonts w:hint="eastAsia"/>
          <w:b/>
          <w:bCs/>
          <w:spacing w:val="4"/>
          <w:lang w:eastAsia="zh-CN"/>
        </w:rPr>
        <w:t>附件一：课程特色</w:t>
      </w:r>
    </w:p>
    <w:p w14:paraId="6569C756">
      <w:pPr>
        <w:spacing w:before="312" w:beforeLines="100" w:after="312" w:afterLines="100" w:line="360" w:lineRule="auto"/>
        <w:ind w:firstLine="656" w:firstLineChars="200"/>
        <w:rPr>
          <w:rFonts w:hint="eastAsia" w:ascii="仿宋" w:hAnsi="仿宋" w:eastAsia="仿宋" w:cs="仿宋"/>
          <w:spacing w:val="4"/>
          <w:sz w:val="32"/>
          <w:szCs w:val="32"/>
          <w:lang w:eastAsia="zh-CN"/>
        </w:rPr>
      </w:pPr>
      <w:r>
        <w:rPr>
          <w:rFonts w:hint="eastAsia" w:ascii="仿宋" w:hAnsi="仿宋" w:eastAsia="仿宋" w:cs="仿宋"/>
          <w:spacing w:val="4"/>
          <w:sz w:val="32"/>
          <w:szCs w:val="32"/>
          <w:lang w:eastAsia="zh-CN"/>
        </w:rPr>
        <w:t>温州医科大学附属第二医院、育英儿童医院是成人、儿童学科体系齐全的全生命周期省级三甲综合性医院。近年来，医院获批3个国家临床重点专科；获批教育部重点实验室、省重点实验室等10余个省部级科研平台；连续五年获评国家卫健委三级公立医院绩效考核A+等级；2023年度中国医院科技量值位列全国第68位，8个学科进入全国前50强，2个学科排名全省第一。</w:t>
      </w:r>
    </w:p>
    <w:p w14:paraId="26111066">
      <w:pPr>
        <w:spacing w:before="312" w:beforeLines="100" w:after="312" w:afterLines="100" w:line="360" w:lineRule="auto"/>
        <w:ind w:firstLine="656" w:firstLineChars="200"/>
        <w:rPr>
          <w:rFonts w:hint="eastAsia" w:ascii="仿宋" w:hAnsi="仿宋" w:eastAsia="仿宋" w:cs="仿宋"/>
          <w:spacing w:val="4"/>
          <w:sz w:val="32"/>
          <w:szCs w:val="32"/>
          <w:lang w:eastAsia="zh-CN"/>
        </w:rPr>
      </w:pPr>
      <w:r>
        <w:rPr>
          <w:rFonts w:hint="eastAsia" w:ascii="仿宋" w:hAnsi="仿宋" w:eastAsia="仿宋" w:cs="仿宋"/>
          <w:spacing w:val="4"/>
          <w:sz w:val="32"/>
          <w:szCs w:val="32"/>
          <w:lang w:eastAsia="zh-CN"/>
        </w:rPr>
        <w:t>近年来，温医二院积极响应国家关于加强内部控制体系建设的号召，不断探索和实践适合公立医院的内部控制模式，是率先响应国家卫健委文件要求、在全国范围内首批完成大内控建设的公立医院。通过引入“基于标准”的内控建设方法，温医二院编制了《内部控制流程手册》与《内部控制管理手册》，这两部手册不仅全面覆盖了六大核心经济业务领域，还深入细化至27项医院特色的业务范畴，详细列出了874项业务操作规范，不仅突破了传统内控建设过度依赖业务经验的瓶颈，还有效解决了内部控制成果难以有效转化应用的难题，实现了内控成果在医院的深度融入与高效执行。在此基础上，温医二院主编了《医院内部控制体系设计及应用》、《公立医院内部控制实务操作指南》等书籍，旨在打造一个具有普遍指导意义、能够引领公立医院内部控制发展方向的标准化框架，赢得了业界的广泛认可，为推动公立医院内部控制体系的规范化、标准化建设迈出了坚实步伐。</w:t>
      </w:r>
    </w:p>
    <w:p w14:paraId="77AEF0F1">
      <w:pPr>
        <w:spacing w:before="312" w:beforeLines="100" w:after="312" w:afterLines="100" w:line="360" w:lineRule="auto"/>
        <w:ind w:firstLine="656" w:firstLineChars="200"/>
        <w:rPr>
          <w:rFonts w:hint="eastAsia" w:ascii="仿宋" w:hAnsi="仿宋" w:eastAsia="仿宋" w:cs="仿宋"/>
          <w:spacing w:val="4"/>
          <w:sz w:val="32"/>
          <w:szCs w:val="32"/>
          <w:lang w:eastAsia="zh-CN"/>
        </w:rPr>
      </w:pPr>
      <w:r>
        <w:rPr>
          <w:rFonts w:ascii="仿宋" w:hAnsi="仿宋" w:eastAsia="仿宋" w:cs="仿宋"/>
          <w:spacing w:val="4"/>
          <w:sz w:val="32"/>
          <w:szCs w:val="32"/>
          <w:lang w:eastAsia="zh-CN"/>
        </w:rPr>
        <w:t>温医二院财务管理团队现有教授级正高级会计师2人，高级会计师3人，国家卫健委经济管理领军人才4人，国家卫健委经济管理后备领军人才1人。这支领军人才大满贯的人才梯队，为加强医院运营管理提供了必要的人力资源保障。</w:t>
      </w:r>
    </w:p>
    <w:p w14:paraId="0D5E503B">
      <w:pPr>
        <w:spacing w:before="312" w:beforeLines="100" w:after="312" w:afterLines="100" w:line="360" w:lineRule="auto"/>
        <w:ind w:firstLine="656" w:firstLineChars="200"/>
        <w:rPr>
          <w:rFonts w:hint="eastAsia" w:ascii="仿宋" w:hAnsi="仿宋" w:eastAsia="仿宋" w:cs="仿宋"/>
          <w:spacing w:val="4"/>
          <w:sz w:val="32"/>
          <w:szCs w:val="32"/>
          <w:lang w:eastAsia="zh-CN"/>
        </w:rPr>
      </w:pPr>
      <w:r>
        <w:rPr>
          <w:rFonts w:ascii="仿宋" w:hAnsi="仿宋" w:eastAsia="仿宋" w:cs="仿宋"/>
          <w:spacing w:val="4"/>
          <w:sz w:val="32"/>
          <w:szCs w:val="32"/>
          <w:lang w:eastAsia="zh-CN"/>
        </w:rPr>
        <w:br w:type="page"/>
      </w:r>
    </w:p>
    <w:p w14:paraId="4692B65B">
      <w:pPr>
        <w:pStyle w:val="3"/>
        <w:spacing w:before="312" w:beforeLines="100" w:after="312" w:afterLines="100" w:line="360" w:lineRule="auto"/>
        <w:rPr>
          <w:rFonts w:hint="eastAsia"/>
          <w:b/>
          <w:bCs/>
          <w:spacing w:val="4"/>
          <w:lang w:eastAsia="zh-CN"/>
        </w:rPr>
      </w:pPr>
      <w:r>
        <w:rPr>
          <w:rFonts w:hint="eastAsia"/>
          <w:b/>
          <w:bCs/>
          <w:spacing w:val="4"/>
          <w:lang w:eastAsia="zh-CN"/>
        </w:rPr>
        <w:t>附件二：报名回执表</w:t>
      </w:r>
    </w:p>
    <w:p w14:paraId="6391D493">
      <w:pPr>
        <w:tabs>
          <w:tab w:val="center" w:pos="4766"/>
          <w:tab w:val="left" w:pos="6716"/>
        </w:tabs>
        <w:spacing w:line="360" w:lineRule="auto"/>
        <w:jc w:val="center"/>
        <w:rPr>
          <w:rFonts w:hint="eastAsia" w:ascii="微软雅黑" w:hAnsi="微软雅黑" w:eastAsia="微软雅黑" w:cs="Times New Roman"/>
          <w:b/>
          <w:sz w:val="24"/>
          <w:szCs w:val="24"/>
          <w:lang w:eastAsia="zh-CN"/>
        </w:rPr>
      </w:pPr>
      <w:r>
        <w:rPr>
          <w:rFonts w:hint="eastAsia" w:ascii="微软雅黑" w:hAnsi="微软雅黑" w:eastAsia="微软雅黑" w:cs="Times New Roman"/>
          <w:b/>
          <w:sz w:val="24"/>
          <w:szCs w:val="24"/>
          <w:lang w:eastAsia="zh-CN"/>
        </w:rPr>
        <w:t>“公立医院财务管理与高质量发展”案例教学系列项目（总第20期）——温州医科大学附属第二医院“强内控、精管理”助力医院治理效能提升（第1期）及跟岗培训  报名回执表</w:t>
      </w:r>
    </w:p>
    <w:tbl>
      <w:tblPr>
        <w:tblStyle w:val="8"/>
        <w:tblpPr w:leftFromText="180" w:rightFromText="180" w:vertAnchor="text" w:horzAnchor="page" w:tblpX="1455" w:tblpY="156"/>
        <w:tblOverlap w:val="never"/>
        <w:tblW w:w="8784"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150"/>
        <w:gridCol w:w="830"/>
        <w:gridCol w:w="1701"/>
        <w:gridCol w:w="709"/>
        <w:gridCol w:w="1134"/>
        <w:gridCol w:w="396"/>
        <w:gridCol w:w="29"/>
        <w:gridCol w:w="963"/>
        <w:gridCol w:w="1872"/>
      </w:tblGrid>
      <w:tr w14:paraId="56B1EA6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39" w:hRule="atLeast"/>
        </w:trPr>
        <w:tc>
          <w:tcPr>
            <w:tcW w:w="11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94E6E3">
            <w:pPr>
              <w:spacing w:line="360" w:lineRule="auto"/>
              <w:rPr>
                <w:rFonts w:hint="eastAsia" w:ascii="微软雅黑" w:hAnsi="微软雅黑" w:eastAsia="微软雅黑"/>
                <w:color w:val="58595B"/>
              </w:rPr>
            </w:pPr>
            <w:bookmarkStart w:id="1" w:name="_Hlk82519880"/>
            <w:r>
              <w:rPr>
                <w:rFonts w:hint="eastAsia" w:ascii="微软雅黑" w:hAnsi="微软雅黑" w:eastAsia="微软雅黑"/>
                <w:b/>
              </w:rPr>
              <w:t>单位名称</w:t>
            </w:r>
          </w:p>
        </w:tc>
        <w:tc>
          <w:tcPr>
            <w:tcW w:w="324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6A8A5A">
            <w:pPr>
              <w:spacing w:line="360" w:lineRule="auto"/>
              <w:jc w:val="center"/>
              <w:rPr>
                <w:rFonts w:hint="eastAsia" w:ascii="微软雅黑" w:hAnsi="微软雅黑" w:eastAsia="微软雅黑"/>
                <w:color w:val="58595B"/>
              </w:rPr>
            </w:pPr>
          </w:p>
        </w:tc>
        <w:tc>
          <w:tcPr>
            <w:tcW w:w="155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4A6A26">
            <w:pPr>
              <w:spacing w:line="360" w:lineRule="auto"/>
              <w:jc w:val="center"/>
              <w:rPr>
                <w:rFonts w:hint="eastAsia" w:ascii="微软雅黑" w:hAnsi="微软雅黑" w:eastAsia="微软雅黑"/>
                <w:color w:val="58595B"/>
              </w:rPr>
            </w:pPr>
            <w:r>
              <w:rPr>
                <w:rFonts w:hint="eastAsia" w:ascii="微软雅黑" w:hAnsi="微软雅黑" w:eastAsia="微软雅黑"/>
                <w:b/>
              </w:rPr>
              <w:t>纳税人识别号</w:t>
            </w:r>
          </w:p>
        </w:tc>
        <w:tc>
          <w:tcPr>
            <w:tcW w:w="283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D70A45">
            <w:pPr>
              <w:spacing w:line="360" w:lineRule="auto"/>
              <w:jc w:val="center"/>
              <w:rPr>
                <w:rFonts w:hint="eastAsia" w:ascii="微软雅黑" w:hAnsi="微软雅黑" w:eastAsia="微软雅黑"/>
                <w:color w:val="58595B"/>
              </w:rPr>
            </w:pPr>
          </w:p>
        </w:tc>
      </w:tr>
      <w:tr w14:paraId="0F6010B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6" w:hRule="atLeast"/>
        </w:trPr>
        <w:tc>
          <w:tcPr>
            <w:tcW w:w="11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7B776C">
            <w:pPr>
              <w:tabs>
                <w:tab w:val="left" w:pos="360"/>
                <w:tab w:val="left" w:pos="540"/>
              </w:tabs>
              <w:spacing w:line="360" w:lineRule="auto"/>
              <w:jc w:val="center"/>
              <w:rPr>
                <w:rFonts w:hint="eastAsia" w:ascii="微软雅黑" w:hAnsi="微软雅黑" w:eastAsia="微软雅黑"/>
                <w:b/>
              </w:rPr>
            </w:pPr>
            <w:r>
              <w:rPr>
                <w:rFonts w:hint="eastAsia" w:ascii="微软雅黑" w:hAnsi="微软雅黑" w:eastAsia="微软雅黑"/>
                <w:b/>
              </w:rPr>
              <w:t>学员姓名</w:t>
            </w:r>
          </w:p>
        </w:tc>
        <w:tc>
          <w:tcPr>
            <w:tcW w:w="8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A12E91">
            <w:pPr>
              <w:spacing w:line="360" w:lineRule="auto"/>
              <w:jc w:val="center"/>
              <w:rPr>
                <w:rFonts w:hint="eastAsia" w:ascii="微软雅黑" w:hAnsi="微软雅黑" w:eastAsia="微软雅黑" w:cs="Times New Roman (正文 CS 字体)"/>
                <w:sz w:val="24"/>
                <w:szCs w:val="24"/>
              </w:rPr>
            </w:pPr>
            <w:r>
              <w:rPr>
                <w:rFonts w:ascii="微软雅黑" w:hAnsi="微软雅黑" w:eastAsia="微软雅黑" w:cs="Times New Roman (正文 CS 字体)"/>
                <w:b/>
              </w:rPr>
              <w:t>性别</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8463B2">
            <w:pPr>
              <w:tabs>
                <w:tab w:val="left" w:pos="360"/>
                <w:tab w:val="left" w:pos="540"/>
              </w:tabs>
              <w:spacing w:line="360" w:lineRule="auto"/>
              <w:jc w:val="center"/>
              <w:rPr>
                <w:rFonts w:hint="eastAsia" w:ascii="微软雅黑" w:hAnsi="微软雅黑" w:eastAsia="微软雅黑"/>
                <w:b/>
              </w:rPr>
            </w:pPr>
            <w:r>
              <w:rPr>
                <w:rFonts w:hint="eastAsia" w:ascii="微软雅黑" w:hAnsi="微软雅黑" w:eastAsia="微软雅黑"/>
                <w:b/>
              </w:rPr>
              <w:t>科室+职务</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14:paraId="28F1672D">
            <w:pPr>
              <w:tabs>
                <w:tab w:val="left" w:pos="360"/>
                <w:tab w:val="left" w:pos="540"/>
              </w:tabs>
              <w:spacing w:line="360" w:lineRule="auto"/>
              <w:jc w:val="center"/>
              <w:rPr>
                <w:rFonts w:hint="eastAsia" w:ascii="微软雅黑" w:hAnsi="微软雅黑" w:eastAsia="微软雅黑"/>
                <w:b/>
              </w:rPr>
            </w:pPr>
            <w:r>
              <w:rPr>
                <w:rFonts w:hint="eastAsia" w:ascii="微软雅黑" w:hAnsi="微软雅黑" w:eastAsia="微软雅黑"/>
                <w:b/>
              </w:rPr>
              <w:t>手机号码</w:t>
            </w:r>
          </w:p>
        </w:tc>
        <w:tc>
          <w:tcPr>
            <w:tcW w:w="326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0FF613">
            <w:pPr>
              <w:tabs>
                <w:tab w:val="left" w:pos="360"/>
                <w:tab w:val="left" w:pos="540"/>
              </w:tabs>
              <w:spacing w:line="360" w:lineRule="auto"/>
              <w:ind w:left="27"/>
              <w:jc w:val="center"/>
              <w:rPr>
                <w:rFonts w:hint="eastAsia" w:ascii="微软雅黑" w:hAnsi="微软雅黑" w:eastAsia="微软雅黑"/>
                <w:b/>
              </w:rPr>
            </w:pPr>
            <w:r>
              <w:rPr>
                <w:rFonts w:ascii="微软雅黑" w:hAnsi="微软雅黑" w:eastAsia="微软雅黑"/>
                <w:b/>
              </w:rPr>
              <w:t>电子邮箱</w:t>
            </w:r>
          </w:p>
        </w:tc>
      </w:tr>
      <w:tr w14:paraId="57D15B0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6" w:hRule="atLeast"/>
        </w:trPr>
        <w:tc>
          <w:tcPr>
            <w:tcW w:w="11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6F1AB1">
            <w:pPr>
              <w:tabs>
                <w:tab w:val="left" w:pos="360"/>
                <w:tab w:val="left" w:pos="540"/>
              </w:tabs>
              <w:spacing w:line="360" w:lineRule="auto"/>
              <w:rPr>
                <w:rFonts w:hint="eastAsia" w:ascii="微软雅黑" w:hAnsi="微软雅黑" w:eastAsia="微软雅黑"/>
                <w:b/>
              </w:rPr>
            </w:pPr>
          </w:p>
        </w:tc>
        <w:tc>
          <w:tcPr>
            <w:tcW w:w="8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5FF80F">
            <w:pPr>
              <w:tabs>
                <w:tab w:val="left" w:pos="360"/>
                <w:tab w:val="left" w:pos="540"/>
              </w:tabs>
              <w:spacing w:line="360" w:lineRule="auto"/>
              <w:rPr>
                <w:rFonts w:hint="eastAsia" w:ascii="微软雅黑" w:hAnsi="微软雅黑" w:eastAsia="微软雅黑"/>
                <w:b/>
                <w:spacing w:val="-26"/>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BBFF62">
            <w:pPr>
              <w:tabs>
                <w:tab w:val="left" w:pos="360"/>
                <w:tab w:val="left" w:pos="540"/>
              </w:tabs>
              <w:spacing w:line="360" w:lineRule="auto"/>
              <w:jc w:val="center"/>
              <w:rPr>
                <w:rFonts w:hint="eastAsia" w:ascii="微软雅黑" w:hAnsi="微软雅黑" w:eastAsia="微软雅黑"/>
                <w:b/>
              </w:rPr>
            </w:pP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14:paraId="1B414BB0">
            <w:pPr>
              <w:tabs>
                <w:tab w:val="left" w:pos="360"/>
                <w:tab w:val="left" w:pos="540"/>
              </w:tabs>
              <w:spacing w:line="360" w:lineRule="auto"/>
              <w:jc w:val="center"/>
              <w:rPr>
                <w:rFonts w:hint="eastAsia" w:ascii="微软雅黑" w:hAnsi="微软雅黑" w:eastAsia="微软雅黑"/>
                <w:b/>
              </w:rPr>
            </w:pPr>
          </w:p>
        </w:tc>
        <w:tc>
          <w:tcPr>
            <w:tcW w:w="326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0166CB">
            <w:pPr>
              <w:tabs>
                <w:tab w:val="left" w:pos="360"/>
                <w:tab w:val="left" w:pos="540"/>
              </w:tabs>
              <w:spacing w:line="360" w:lineRule="auto"/>
              <w:ind w:left="27"/>
              <w:jc w:val="center"/>
              <w:rPr>
                <w:rFonts w:hint="eastAsia" w:ascii="微软雅黑" w:hAnsi="微软雅黑" w:eastAsia="微软雅黑"/>
                <w:b/>
              </w:rPr>
            </w:pPr>
          </w:p>
        </w:tc>
      </w:tr>
      <w:tr w14:paraId="6122612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6" w:hRule="atLeast"/>
        </w:trPr>
        <w:tc>
          <w:tcPr>
            <w:tcW w:w="11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9D065D">
            <w:pPr>
              <w:tabs>
                <w:tab w:val="left" w:pos="360"/>
                <w:tab w:val="left" w:pos="540"/>
              </w:tabs>
              <w:spacing w:line="360" w:lineRule="auto"/>
              <w:rPr>
                <w:rFonts w:hint="eastAsia" w:ascii="微软雅黑" w:hAnsi="微软雅黑" w:eastAsia="微软雅黑"/>
                <w:b/>
              </w:rPr>
            </w:pPr>
          </w:p>
        </w:tc>
        <w:tc>
          <w:tcPr>
            <w:tcW w:w="8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09DED3">
            <w:pPr>
              <w:tabs>
                <w:tab w:val="left" w:pos="360"/>
                <w:tab w:val="left" w:pos="540"/>
              </w:tabs>
              <w:spacing w:line="360" w:lineRule="auto"/>
              <w:rPr>
                <w:rFonts w:hint="eastAsia" w:ascii="微软雅黑" w:hAnsi="微软雅黑" w:eastAsia="微软雅黑"/>
                <w:b/>
                <w:spacing w:val="-26"/>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B6119A">
            <w:pPr>
              <w:tabs>
                <w:tab w:val="left" w:pos="360"/>
                <w:tab w:val="left" w:pos="540"/>
              </w:tabs>
              <w:spacing w:line="360" w:lineRule="auto"/>
              <w:jc w:val="center"/>
              <w:rPr>
                <w:rFonts w:hint="eastAsia" w:ascii="微软雅黑" w:hAnsi="微软雅黑" w:eastAsia="微软雅黑"/>
                <w:b/>
              </w:rPr>
            </w:pP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14:paraId="68CE2FB0">
            <w:pPr>
              <w:tabs>
                <w:tab w:val="left" w:pos="360"/>
                <w:tab w:val="left" w:pos="540"/>
              </w:tabs>
              <w:spacing w:line="360" w:lineRule="auto"/>
              <w:jc w:val="center"/>
              <w:rPr>
                <w:rFonts w:hint="eastAsia" w:ascii="微软雅黑" w:hAnsi="微软雅黑" w:eastAsia="微软雅黑"/>
                <w:b/>
              </w:rPr>
            </w:pPr>
          </w:p>
        </w:tc>
        <w:tc>
          <w:tcPr>
            <w:tcW w:w="326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085E9C">
            <w:pPr>
              <w:tabs>
                <w:tab w:val="left" w:pos="360"/>
                <w:tab w:val="left" w:pos="540"/>
              </w:tabs>
              <w:spacing w:line="360" w:lineRule="auto"/>
              <w:ind w:left="27"/>
              <w:jc w:val="center"/>
              <w:rPr>
                <w:rFonts w:hint="eastAsia" w:ascii="微软雅黑" w:hAnsi="微软雅黑" w:eastAsia="微软雅黑"/>
                <w:b/>
              </w:rPr>
            </w:pPr>
          </w:p>
        </w:tc>
      </w:tr>
      <w:tr w14:paraId="6741B0B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6" w:hRule="atLeast"/>
        </w:trPr>
        <w:tc>
          <w:tcPr>
            <w:tcW w:w="11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F73218">
            <w:pPr>
              <w:tabs>
                <w:tab w:val="left" w:pos="360"/>
                <w:tab w:val="left" w:pos="540"/>
              </w:tabs>
              <w:spacing w:line="360" w:lineRule="auto"/>
              <w:rPr>
                <w:rFonts w:hint="eastAsia" w:ascii="微软雅黑" w:hAnsi="微软雅黑" w:eastAsia="微软雅黑"/>
                <w:b/>
              </w:rPr>
            </w:pPr>
          </w:p>
        </w:tc>
        <w:tc>
          <w:tcPr>
            <w:tcW w:w="8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49C3BE">
            <w:pPr>
              <w:tabs>
                <w:tab w:val="left" w:pos="360"/>
                <w:tab w:val="left" w:pos="540"/>
              </w:tabs>
              <w:spacing w:line="360" w:lineRule="auto"/>
              <w:rPr>
                <w:rFonts w:hint="eastAsia" w:ascii="微软雅黑" w:hAnsi="微软雅黑" w:eastAsia="微软雅黑"/>
                <w:b/>
                <w:spacing w:val="-26"/>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E74822">
            <w:pPr>
              <w:tabs>
                <w:tab w:val="left" w:pos="360"/>
                <w:tab w:val="left" w:pos="540"/>
              </w:tabs>
              <w:spacing w:line="360" w:lineRule="auto"/>
              <w:jc w:val="center"/>
              <w:rPr>
                <w:rFonts w:hint="eastAsia" w:ascii="微软雅黑" w:hAnsi="微软雅黑" w:eastAsia="微软雅黑"/>
                <w:b/>
              </w:rPr>
            </w:pP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14:paraId="17C720C9">
            <w:pPr>
              <w:tabs>
                <w:tab w:val="left" w:pos="360"/>
                <w:tab w:val="left" w:pos="540"/>
              </w:tabs>
              <w:spacing w:line="360" w:lineRule="auto"/>
              <w:jc w:val="center"/>
              <w:rPr>
                <w:rFonts w:hint="eastAsia" w:ascii="微软雅黑" w:hAnsi="微软雅黑" w:eastAsia="微软雅黑"/>
                <w:b/>
              </w:rPr>
            </w:pPr>
          </w:p>
        </w:tc>
        <w:tc>
          <w:tcPr>
            <w:tcW w:w="326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419017">
            <w:pPr>
              <w:tabs>
                <w:tab w:val="left" w:pos="360"/>
                <w:tab w:val="left" w:pos="540"/>
              </w:tabs>
              <w:spacing w:line="360" w:lineRule="auto"/>
              <w:ind w:left="27"/>
              <w:jc w:val="center"/>
              <w:rPr>
                <w:rFonts w:hint="eastAsia" w:ascii="微软雅黑" w:hAnsi="微软雅黑" w:eastAsia="微软雅黑"/>
                <w:b/>
              </w:rPr>
            </w:pPr>
          </w:p>
        </w:tc>
      </w:tr>
      <w:tr w14:paraId="7D3DE3A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11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259866">
            <w:pPr>
              <w:tabs>
                <w:tab w:val="left" w:pos="360"/>
                <w:tab w:val="left" w:pos="540"/>
              </w:tabs>
              <w:spacing w:line="360" w:lineRule="auto"/>
              <w:jc w:val="center"/>
              <w:rPr>
                <w:rFonts w:hint="eastAsia" w:ascii="微软雅黑" w:hAnsi="微软雅黑" w:eastAsia="微软雅黑"/>
                <w:color w:val="58595B"/>
              </w:rPr>
            </w:pPr>
            <w:r>
              <w:rPr>
                <w:rFonts w:ascii="微软雅黑" w:hAnsi="微软雅黑" w:eastAsia="微软雅黑"/>
                <w:b/>
              </w:rPr>
              <w:t>费用总计</w:t>
            </w:r>
          </w:p>
        </w:tc>
        <w:tc>
          <w:tcPr>
            <w:tcW w:w="477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54702C">
            <w:pPr>
              <w:spacing w:line="360" w:lineRule="auto"/>
              <w:jc w:val="center"/>
              <w:rPr>
                <w:rFonts w:hint="eastAsia" w:ascii="微软雅黑" w:hAnsi="微软雅黑" w:eastAsia="微软雅黑" w:cs="宋体"/>
                <w:bCs/>
              </w:rPr>
            </w:pPr>
            <w:r>
              <w:rPr>
                <w:rFonts w:hint="eastAsia" w:ascii="微软雅黑" w:hAnsi="微软雅黑" w:eastAsia="微软雅黑" w:cs="宋体"/>
                <w:bCs/>
              </w:rPr>
              <w:t xml:space="preserve"> 万  仟 </w:t>
            </w:r>
            <w:r>
              <w:rPr>
                <w:rFonts w:ascii="微软雅黑" w:hAnsi="微软雅黑" w:eastAsia="微软雅黑" w:cs="宋体"/>
                <w:bCs/>
              </w:rPr>
              <w:t xml:space="preserve"> </w:t>
            </w:r>
            <w:r>
              <w:rPr>
                <w:rFonts w:hint="eastAsia" w:ascii="微软雅黑" w:hAnsi="微软雅黑" w:eastAsia="微软雅黑" w:cs="宋体"/>
                <w:bCs/>
              </w:rPr>
              <w:t>佰元整</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39603023">
            <w:pPr>
              <w:spacing w:line="360" w:lineRule="auto"/>
              <w:jc w:val="center"/>
              <w:rPr>
                <w:rFonts w:hint="eastAsia" w:ascii="微软雅黑" w:hAnsi="微软雅黑" w:eastAsia="微软雅黑" w:cs="宋体"/>
                <w:b/>
                <w:bCs/>
              </w:rPr>
            </w:pPr>
            <w:r>
              <w:rPr>
                <w:rFonts w:hint="eastAsia" w:ascii="微软雅黑" w:hAnsi="微软雅黑" w:eastAsia="微软雅黑" w:cs="宋体"/>
                <w:b/>
                <w:bCs/>
              </w:rPr>
              <w:t>小写</w:t>
            </w:r>
          </w:p>
        </w:tc>
        <w:tc>
          <w:tcPr>
            <w:tcW w:w="1872" w:type="dxa"/>
            <w:tcBorders>
              <w:top w:val="single" w:color="000000" w:sz="4" w:space="0"/>
              <w:left w:val="single" w:color="000000" w:sz="4" w:space="0"/>
              <w:bottom w:val="single" w:color="000000" w:sz="4" w:space="0"/>
              <w:right w:val="single" w:color="000000" w:sz="4" w:space="0"/>
            </w:tcBorders>
            <w:vAlign w:val="center"/>
          </w:tcPr>
          <w:p w14:paraId="3A2374A0">
            <w:pPr>
              <w:spacing w:line="360" w:lineRule="auto"/>
              <w:rPr>
                <w:rFonts w:hint="eastAsia" w:ascii="微软雅黑" w:hAnsi="微软雅黑" w:eastAsia="微软雅黑" w:cs="宋体"/>
                <w:bCs/>
              </w:rPr>
            </w:pPr>
            <w:r>
              <w:rPr>
                <w:rFonts w:hint="eastAsia" w:ascii="微软雅黑" w:hAnsi="微软雅黑" w:eastAsia="微软雅黑" w:cs="宋体"/>
                <w:bCs/>
              </w:rPr>
              <w:t>￥：</w:t>
            </w:r>
          </w:p>
        </w:tc>
      </w:tr>
      <w:tr w14:paraId="28EB045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60" w:hRule="atLeast"/>
        </w:trPr>
        <w:tc>
          <w:tcPr>
            <w:tcW w:w="8784"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539373">
            <w:pPr>
              <w:tabs>
                <w:tab w:val="left" w:pos="360"/>
                <w:tab w:val="left" w:pos="540"/>
              </w:tabs>
              <w:rPr>
                <w:rFonts w:hint="eastAsia" w:ascii="微软雅黑" w:hAnsi="微软雅黑" w:eastAsia="微软雅黑" w:cs="宋体"/>
                <w:bCs/>
                <w:lang w:eastAsia="zh-CN"/>
              </w:rPr>
            </w:pPr>
            <w:r>
              <w:rPr>
                <w:rFonts w:hint="eastAsia" w:ascii="微软雅黑" w:hAnsi="微软雅黑" w:eastAsia="微软雅黑" w:cs="宋体"/>
                <w:bCs/>
                <w:lang w:eastAsia="zh-CN"/>
              </w:rPr>
              <w:t xml:space="preserve">   参训方式： 案例教学：</w:t>
            </w:r>
            <w:r>
              <w:rPr>
                <w:rFonts w:hint="eastAsia" w:ascii="微软雅黑" w:hAnsi="微软雅黑" w:eastAsia="微软雅黑" w:cs="宋体"/>
                <w:bCs/>
              </w:rPr>
              <w:sym w:font="Wingdings" w:char="00A8"/>
            </w:r>
            <w:r>
              <w:rPr>
                <w:rFonts w:hint="eastAsia" w:ascii="微软雅黑" w:hAnsi="微软雅黑" w:eastAsia="微软雅黑" w:cs="宋体"/>
                <w:bCs/>
                <w:lang w:eastAsia="zh-CN"/>
              </w:rPr>
              <w:t xml:space="preserve">       案例教学+跟岗 </w:t>
            </w:r>
            <w:r>
              <w:rPr>
                <w:rFonts w:hint="eastAsia" w:ascii="微软雅黑" w:hAnsi="微软雅黑" w:eastAsia="微软雅黑" w:cs="宋体"/>
                <w:bCs/>
              </w:rPr>
              <w:sym w:font="Wingdings" w:char="00A8"/>
            </w:r>
            <w:r>
              <w:rPr>
                <w:rFonts w:hint="eastAsia" w:ascii="微软雅黑" w:hAnsi="微软雅黑" w:eastAsia="微软雅黑" w:cs="宋体"/>
                <w:bCs/>
                <w:lang w:eastAsia="zh-CN"/>
              </w:rPr>
              <w:t xml:space="preserve"> </w:t>
            </w:r>
            <w:r>
              <w:rPr>
                <w:rFonts w:ascii="微软雅黑" w:hAnsi="微软雅黑" w:eastAsia="微软雅黑" w:cs="宋体"/>
                <w:bCs/>
                <w:lang w:eastAsia="zh-CN"/>
              </w:rPr>
              <w:t xml:space="preserve">   </w:t>
            </w:r>
            <w:r>
              <w:rPr>
                <w:rFonts w:hint="eastAsia" w:ascii="微软雅黑" w:hAnsi="微软雅黑" w:eastAsia="微软雅黑" w:cs="宋体"/>
                <w:bCs/>
                <w:lang w:eastAsia="zh-CN"/>
              </w:rPr>
              <w:t>意向跟岗岗位：</w:t>
            </w:r>
            <w:r>
              <w:rPr>
                <w:rFonts w:ascii="微软雅黑" w:hAnsi="微软雅黑" w:eastAsia="微软雅黑" w:cs="宋体"/>
                <w:bCs/>
                <w:lang w:eastAsia="zh-CN"/>
              </w:rPr>
              <w:t xml:space="preserve"> </w:t>
            </w:r>
          </w:p>
          <w:p w14:paraId="034C8084">
            <w:pPr>
              <w:tabs>
                <w:tab w:val="left" w:pos="360"/>
                <w:tab w:val="left" w:pos="540"/>
              </w:tabs>
              <w:rPr>
                <w:rFonts w:hint="eastAsia" w:ascii="微软雅黑" w:hAnsi="微软雅黑" w:eastAsia="微软雅黑" w:cs="宋体"/>
                <w:b/>
                <w:lang w:eastAsia="zh-CN"/>
              </w:rPr>
            </w:pPr>
            <w:r>
              <w:rPr>
                <w:rFonts w:hint="eastAsia" w:ascii="微软雅黑" w:hAnsi="微软雅黑" w:eastAsia="微软雅黑" w:cs="宋体"/>
                <w:bCs/>
                <w:lang w:eastAsia="zh-CN"/>
              </w:rPr>
              <w:t xml:space="preserve"> </w:t>
            </w:r>
            <w:r>
              <w:rPr>
                <w:rFonts w:ascii="微软雅黑" w:hAnsi="微软雅黑" w:eastAsia="微软雅黑" w:cs="宋体"/>
                <w:bCs/>
                <w:lang w:eastAsia="zh-CN"/>
              </w:rPr>
              <w:t xml:space="preserve">   </w:t>
            </w:r>
            <w:r>
              <w:rPr>
                <w:rFonts w:hint="eastAsia" w:ascii="微软雅黑" w:hAnsi="微软雅黑" w:eastAsia="微软雅黑" w:cs="宋体"/>
                <w:bCs/>
                <w:lang w:eastAsia="zh-CN"/>
              </w:rPr>
              <w:t>住宿意向：</w:t>
            </w:r>
            <w:r>
              <w:rPr>
                <w:rFonts w:hint="eastAsia" w:ascii="微软雅黑" w:hAnsi="微软雅黑" w:eastAsia="微软雅黑" w:cs="宋体"/>
                <w:bCs/>
              </w:rPr>
              <w:sym w:font="Wingdings" w:char="00A8"/>
            </w:r>
            <w:r>
              <w:rPr>
                <w:rFonts w:hint="eastAsia" w:ascii="微软雅黑" w:hAnsi="微软雅黑" w:eastAsia="微软雅黑" w:cs="宋体"/>
                <w:bCs/>
                <w:lang w:eastAsia="zh-CN"/>
              </w:rPr>
              <w:t xml:space="preserve">  住单间（单人单住）  </w:t>
            </w:r>
            <w:r>
              <w:rPr>
                <w:rFonts w:ascii="微软雅黑" w:hAnsi="微软雅黑" w:eastAsia="微软雅黑" w:cs="宋体"/>
                <w:bCs/>
                <w:lang w:eastAsia="zh-CN"/>
              </w:rPr>
              <w:t xml:space="preserve">   </w:t>
            </w:r>
            <w:r>
              <w:rPr>
                <w:rFonts w:hint="eastAsia" w:ascii="微软雅黑" w:hAnsi="微软雅黑" w:eastAsia="微软雅黑" w:cs="宋体"/>
                <w:bCs/>
              </w:rPr>
              <w:sym w:font="Wingdings" w:char="00A8"/>
            </w:r>
            <w:r>
              <w:rPr>
                <w:rFonts w:hint="eastAsia" w:ascii="微软雅黑" w:hAnsi="微软雅黑" w:eastAsia="微软雅黑" w:cs="宋体"/>
                <w:bCs/>
                <w:lang w:eastAsia="zh-CN"/>
              </w:rPr>
              <w:t>住标间（双人合住）。</w:t>
            </w:r>
          </w:p>
        </w:tc>
      </w:tr>
      <w:tr w14:paraId="4C235B2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46" w:hRule="atLeast"/>
        </w:trPr>
        <w:tc>
          <w:tcPr>
            <w:tcW w:w="439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128D3E">
            <w:pPr>
              <w:tabs>
                <w:tab w:val="left" w:pos="360"/>
                <w:tab w:val="left" w:pos="540"/>
              </w:tabs>
              <w:rPr>
                <w:rFonts w:hint="eastAsia" w:ascii="微软雅黑" w:hAnsi="微软雅黑" w:eastAsia="微软雅黑" w:cs="宋体"/>
                <w:b/>
                <w:lang w:eastAsia="zh-CN"/>
              </w:rPr>
            </w:pPr>
            <w:r>
              <w:rPr>
                <w:rFonts w:hint="eastAsia" w:ascii="微软雅黑" w:hAnsi="微软雅黑" w:eastAsia="微软雅黑" w:cs="宋体"/>
                <w:b/>
                <w:lang w:eastAsia="zh-CN"/>
              </w:rPr>
              <w:t>报名程序：</w:t>
            </w:r>
          </w:p>
          <w:p w14:paraId="71C17C3B">
            <w:pPr>
              <w:tabs>
                <w:tab w:val="left" w:pos="360"/>
                <w:tab w:val="left" w:pos="540"/>
              </w:tabs>
              <w:rPr>
                <w:rFonts w:hint="eastAsia" w:ascii="微软雅黑" w:hAnsi="微软雅黑" w:eastAsia="微软雅黑" w:cs="宋体"/>
                <w:bCs/>
                <w:lang w:eastAsia="zh-CN"/>
              </w:rPr>
            </w:pPr>
            <w:r>
              <w:rPr>
                <w:rFonts w:hint="eastAsia" w:ascii="微软雅黑" w:hAnsi="微软雅黑" w:eastAsia="微软雅黑" w:cs="宋体"/>
                <w:bCs/>
                <w:lang w:eastAsia="zh-CN"/>
              </w:rPr>
              <w:t>填写好此回执表请发至会务组，报名后培训费电汇至上海国家会计学院。</w:t>
            </w:r>
          </w:p>
          <w:p w14:paraId="26C7D52D">
            <w:pPr>
              <w:tabs>
                <w:tab w:val="left" w:pos="360"/>
                <w:tab w:val="left" w:pos="540"/>
              </w:tabs>
              <w:rPr>
                <w:rFonts w:hint="eastAsia" w:ascii="微软雅黑" w:hAnsi="微软雅黑" w:eastAsia="微软雅黑" w:cs="宋体"/>
                <w:bCs/>
                <w:lang w:eastAsia="zh-CN"/>
              </w:rPr>
            </w:pPr>
            <w:r>
              <w:rPr>
                <w:rFonts w:hint="eastAsia" w:ascii="微软雅黑" w:hAnsi="微软雅黑" w:eastAsia="微软雅黑" w:cs="宋体"/>
                <w:bCs/>
                <w:lang w:eastAsia="zh-CN"/>
              </w:rPr>
              <w:t xml:space="preserve">住宿：酒店（现场缴纳 据实结算） </w:t>
            </w:r>
          </w:p>
        </w:tc>
        <w:tc>
          <w:tcPr>
            <w:tcW w:w="4394"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49EEFF">
            <w:pPr>
              <w:tabs>
                <w:tab w:val="left" w:pos="360"/>
                <w:tab w:val="left" w:pos="540"/>
              </w:tabs>
              <w:rPr>
                <w:rFonts w:hint="eastAsia" w:ascii="微软雅黑" w:hAnsi="微软雅黑" w:eastAsia="微软雅黑" w:cs="宋体"/>
                <w:b/>
                <w:lang w:eastAsia="zh-CN"/>
              </w:rPr>
            </w:pPr>
            <w:r>
              <w:rPr>
                <w:rFonts w:hint="eastAsia" w:ascii="微软雅黑" w:hAnsi="微软雅黑" w:eastAsia="微软雅黑" w:cs="宋体"/>
                <w:b/>
                <w:lang w:eastAsia="zh-CN"/>
              </w:rPr>
              <w:t>请将培训费汇至以下账户：</w:t>
            </w:r>
          </w:p>
          <w:p w14:paraId="3E6289B3">
            <w:pPr>
              <w:tabs>
                <w:tab w:val="left" w:pos="360"/>
                <w:tab w:val="left" w:pos="540"/>
              </w:tabs>
              <w:rPr>
                <w:rFonts w:hint="eastAsia" w:ascii="微软雅黑" w:hAnsi="微软雅黑" w:eastAsia="微软雅黑" w:cs="宋体"/>
                <w:bCs/>
                <w:lang w:eastAsia="zh-CN"/>
              </w:rPr>
            </w:pPr>
            <w:r>
              <w:rPr>
                <w:rFonts w:hint="eastAsia" w:ascii="微软雅黑" w:hAnsi="微软雅黑" w:eastAsia="微软雅黑" w:cs="宋体"/>
                <w:bCs/>
                <w:lang w:eastAsia="zh-CN"/>
              </w:rPr>
              <w:t>学院开户行：中国建设银行上海徐泾支行</w:t>
            </w:r>
          </w:p>
          <w:p w14:paraId="6549626E">
            <w:pPr>
              <w:tabs>
                <w:tab w:val="left" w:pos="360"/>
                <w:tab w:val="left" w:pos="540"/>
              </w:tabs>
              <w:rPr>
                <w:rFonts w:hint="eastAsia" w:ascii="微软雅黑" w:hAnsi="微软雅黑" w:eastAsia="微软雅黑" w:cs="宋体"/>
                <w:bCs/>
                <w:lang w:eastAsia="zh-CN"/>
              </w:rPr>
            </w:pPr>
            <w:r>
              <w:rPr>
                <w:rFonts w:hint="eastAsia" w:ascii="微软雅黑" w:hAnsi="微软雅黑" w:eastAsia="微软雅黑" w:cs="宋体"/>
                <w:bCs/>
                <w:lang w:eastAsia="zh-CN"/>
              </w:rPr>
              <w:t>单位名称：上海国家会计学院</w:t>
            </w:r>
          </w:p>
          <w:p w14:paraId="4B51FDF6">
            <w:pPr>
              <w:tabs>
                <w:tab w:val="left" w:pos="360"/>
                <w:tab w:val="left" w:pos="540"/>
              </w:tabs>
              <w:rPr>
                <w:rFonts w:hint="eastAsia" w:ascii="微软雅黑" w:hAnsi="微软雅黑" w:eastAsia="微软雅黑" w:cs="宋体"/>
                <w:bCs/>
                <w:lang w:eastAsia="zh-CN"/>
              </w:rPr>
            </w:pPr>
            <w:r>
              <w:rPr>
                <w:rFonts w:hint="eastAsia" w:ascii="微软雅黑" w:hAnsi="微软雅黑" w:eastAsia="微软雅黑" w:cs="宋体"/>
                <w:bCs/>
                <w:lang w:eastAsia="zh-CN"/>
              </w:rPr>
              <w:t>汇款账号：31001984300059768088</w:t>
            </w:r>
          </w:p>
          <w:p w14:paraId="2388A4B4">
            <w:pPr>
              <w:tabs>
                <w:tab w:val="left" w:pos="360"/>
                <w:tab w:val="left" w:pos="540"/>
              </w:tabs>
              <w:rPr>
                <w:rFonts w:hint="eastAsia" w:ascii="微软雅黑" w:hAnsi="微软雅黑" w:eastAsia="微软雅黑" w:cs="宋体"/>
                <w:bCs/>
                <w:lang w:eastAsia="zh-CN"/>
              </w:rPr>
            </w:pPr>
            <w:r>
              <w:rPr>
                <w:rFonts w:hint="eastAsia" w:ascii="微软雅黑" w:hAnsi="微软雅黑" w:eastAsia="微软雅黑" w:cs="宋体"/>
                <w:b/>
                <w:lang w:eastAsia="zh-CN"/>
              </w:rPr>
              <w:t>温馨提示：汇款时请备注“单位或姓名+温医二院”，并将汇款截图发至会务组。</w:t>
            </w:r>
          </w:p>
        </w:tc>
      </w:tr>
      <w:tr w14:paraId="697CE07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013" w:hRule="atLeast"/>
        </w:trPr>
        <w:tc>
          <w:tcPr>
            <w:tcW w:w="8784"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6D48EE">
            <w:pPr>
              <w:tabs>
                <w:tab w:val="left" w:pos="360"/>
                <w:tab w:val="left" w:pos="540"/>
              </w:tabs>
              <w:spacing w:line="360" w:lineRule="auto"/>
              <w:rPr>
                <w:rFonts w:hint="eastAsia" w:ascii="微软雅黑" w:hAnsi="微软雅黑" w:eastAsia="微软雅黑" w:cs="宋体"/>
                <w:b/>
                <w:lang w:eastAsia="zh-CN"/>
              </w:rPr>
            </w:pPr>
            <w:r>
              <w:rPr>
                <w:rFonts w:hint="eastAsia" w:ascii="微软雅黑" w:hAnsi="微软雅黑" w:eastAsia="微软雅黑" w:cs="宋体"/>
                <w:b/>
                <w:lang w:eastAsia="zh-CN"/>
              </w:rPr>
              <w:t>报名咨询：</w:t>
            </w:r>
          </w:p>
          <w:p w14:paraId="129390CE">
            <w:pPr>
              <w:tabs>
                <w:tab w:val="left" w:pos="360"/>
                <w:tab w:val="left" w:pos="540"/>
              </w:tabs>
              <w:spacing w:line="360" w:lineRule="auto"/>
              <w:rPr>
                <w:rFonts w:hint="eastAsia" w:ascii="微软雅黑" w:hAnsi="微软雅黑" w:eastAsia="微软雅黑" w:cs="宋体"/>
                <w:bCs/>
                <w:lang w:eastAsia="zh-CN"/>
              </w:rPr>
            </w:pPr>
            <w:r>
              <w:rPr>
                <w:rFonts w:hint="eastAsia" w:ascii="微软雅黑" w:hAnsi="微软雅黑" w:eastAsia="微软雅黑" w:cs="宋体"/>
                <w:bCs/>
                <w:lang w:eastAsia="zh-CN"/>
              </w:rPr>
              <w:t>会务组联系人：</w:t>
            </w:r>
            <w:r>
              <w:rPr>
                <w:rFonts w:hint="eastAsia" w:ascii="微软雅黑" w:hAnsi="微软雅黑" w:eastAsia="微软雅黑" w:cs="宋体"/>
                <w:lang w:eastAsia="zh-CN"/>
              </w:rPr>
              <w:t>李老师</w:t>
            </w:r>
            <w:r>
              <w:rPr>
                <w:rFonts w:hint="eastAsia" w:ascii="微软雅黑" w:hAnsi="微软雅黑" w:eastAsia="微软雅黑" w:cs="宋体"/>
                <w:bCs/>
                <w:lang w:eastAsia="zh-CN"/>
              </w:rPr>
              <w:t xml:space="preserve">   手机：</w:t>
            </w:r>
            <w:r>
              <w:rPr>
                <w:rFonts w:ascii="微软雅黑" w:hAnsi="微软雅黑" w:eastAsia="微软雅黑" w:cs="宋体"/>
                <w:lang w:eastAsia="zh-CN"/>
              </w:rPr>
              <w:t>18906415326</w:t>
            </w:r>
            <w:r>
              <w:rPr>
                <w:rFonts w:hint="eastAsia" w:ascii="微软雅黑" w:hAnsi="微软雅黑" w:eastAsia="微软雅黑" w:cs="宋体"/>
                <w:lang w:eastAsia="zh-CN"/>
              </w:rPr>
              <w:t>（微信同号）</w:t>
            </w:r>
            <w:r>
              <w:rPr>
                <w:rFonts w:hint="eastAsia" w:ascii="微软雅黑" w:hAnsi="微软雅黑" w:eastAsia="微软雅黑" w:cs="宋体"/>
                <w:bCs/>
                <w:lang w:eastAsia="zh-CN"/>
              </w:rPr>
              <w:t xml:space="preserve">   </w:t>
            </w:r>
          </w:p>
          <w:p w14:paraId="4226E71B">
            <w:pPr>
              <w:tabs>
                <w:tab w:val="left" w:pos="360"/>
                <w:tab w:val="left" w:pos="540"/>
              </w:tabs>
              <w:spacing w:line="360" w:lineRule="auto"/>
              <w:rPr>
                <w:rFonts w:hint="eastAsia" w:ascii="微软雅黑" w:hAnsi="微软雅黑" w:eastAsia="微软雅黑" w:cs="宋体"/>
              </w:rPr>
            </w:pPr>
            <w:r>
              <w:rPr>
                <w:rFonts w:hint="eastAsia" w:ascii="微软雅黑" w:hAnsi="微软雅黑" w:eastAsia="微软雅黑" w:cs="宋体"/>
                <w:bCs/>
              </w:rPr>
              <w:t>报名邮箱：</w:t>
            </w:r>
            <w:r>
              <w:rPr>
                <w:rFonts w:ascii="微软雅黑" w:hAnsi="微软雅黑" w:eastAsia="微软雅黑" w:cs="宋体"/>
              </w:rPr>
              <w:t>18906415326@163.</w:t>
            </w:r>
            <w:r>
              <w:rPr>
                <w:rFonts w:hint="eastAsia" w:ascii="微软雅黑" w:hAnsi="微软雅黑" w:eastAsia="微软雅黑" w:cs="宋体"/>
              </w:rPr>
              <w:t>com</w:t>
            </w:r>
            <w:r>
              <w:rPr>
                <w:rFonts w:ascii="微软雅黑" w:hAnsi="微软雅黑" w:eastAsia="微软雅黑" w:cs="宋体"/>
              </w:rPr>
              <w:t xml:space="preserve"> </w:t>
            </w:r>
            <w:r>
              <w:rPr>
                <w:rFonts w:ascii="微软雅黑" w:hAnsi="微软雅黑" w:eastAsia="微软雅黑" w:cs="宋体"/>
                <w:sz w:val="24"/>
                <w:szCs w:val="24"/>
              </w:rPr>
              <w:t xml:space="preserve"> </w:t>
            </w:r>
          </w:p>
        </w:tc>
      </w:tr>
      <w:bookmarkEnd w:id="1"/>
    </w:tbl>
    <w:p w14:paraId="376F4724">
      <w:pPr>
        <w:pStyle w:val="2"/>
        <w:spacing w:line="360" w:lineRule="auto"/>
        <w:ind w:firstLine="0" w:firstLineChars="0"/>
        <w:rPr>
          <w:rFonts w:hint="eastAsia" w:ascii="微软雅黑" w:hAnsi="微软雅黑" w:eastAsia="微软雅黑"/>
        </w:rPr>
      </w:pPr>
    </w:p>
    <w:p w14:paraId="3ED1F23E">
      <w:pPr>
        <w:pStyle w:val="2"/>
        <w:spacing w:line="360" w:lineRule="auto"/>
        <w:ind w:firstLine="0" w:firstLineChars="0"/>
        <w:rPr>
          <w:rFonts w:hint="eastAsia" w:ascii="仿宋_GB2312" w:hAnsi="微软雅黑" w:eastAsia="仿宋_GB2312"/>
          <w:sz w:val="30"/>
          <w:szCs w:val="30"/>
        </w:rPr>
      </w:pPr>
    </w:p>
    <w:p w14:paraId="76BBC6B0">
      <w:pPr>
        <w:pStyle w:val="2"/>
        <w:spacing w:line="360" w:lineRule="auto"/>
        <w:ind w:firstLine="0" w:firstLineChars="0"/>
        <w:rPr>
          <w:rFonts w:hint="eastAsia" w:ascii="仿宋_GB2312" w:hAnsi="微软雅黑" w:eastAsia="仿宋_GB2312"/>
          <w:sz w:val="30"/>
          <w:szCs w:val="30"/>
        </w:rPr>
      </w:pPr>
      <w:r>
        <w:rPr>
          <w:rFonts w:hint="eastAsia" w:ascii="仿宋_GB2312" w:hAnsi="微软雅黑" w:eastAsia="仿宋_GB2312"/>
          <w:sz w:val="30"/>
          <w:szCs w:val="30"/>
        </w:rPr>
        <w:t>附件3：上海国家会计学院简介</w:t>
      </w:r>
    </w:p>
    <w:p w14:paraId="06FBF343">
      <w:pPr>
        <w:spacing w:line="360" w:lineRule="auto"/>
        <w:ind w:firstLine="600" w:firstLineChars="200"/>
        <w:rPr>
          <w:rFonts w:ascii="仿宋_GB2312" w:eastAsia="仿宋_GB2312"/>
          <w:sz w:val="30"/>
          <w:szCs w:val="30"/>
          <w:lang w:eastAsia="zh-CN"/>
        </w:rPr>
      </w:pPr>
      <w:r>
        <w:rPr>
          <w:rFonts w:hint="eastAsia" w:ascii="仿宋_GB2312" w:eastAsia="仿宋_GB2312"/>
          <w:sz w:val="30"/>
          <w:szCs w:val="30"/>
          <w:lang w:eastAsia="zh-CN"/>
        </w:rPr>
        <w:t>上海国家会计学院毗邻虹桥枢纽，于2000年9月正式组建。学院也是中国政府为促进区域能力建设而创设的亚太财经与发展学院（AFDI）所在地。学院是财政部直属事业单位，实行党委领导下的院长负责制。学院董事会主席由财政部部长担任。 </w:t>
      </w:r>
      <w:r>
        <w:rPr>
          <w:rFonts w:hint="eastAsia" w:ascii="仿宋_GB2312" w:eastAsia="仿宋_GB2312"/>
          <w:sz w:val="30"/>
          <w:szCs w:val="30"/>
          <w:lang w:eastAsia="zh-CN"/>
        </w:rPr>
        <w:br w:type="textWrapping"/>
      </w:r>
      <w:r>
        <w:rPr>
          <w:rFonts w:hint="eastAsia" w:ascii="仿宋_GB2312" w:eastAsia="仿宋_GB2312"/>
          <w:sz w:val="30"/>
          <w:szCs w:val="30"/>
          <w:lang w:eastAsia="zh-CN"/>
        </w:rPr>
        <w:t>      学院以立德树人为根本任务，秉持朱</w:t>
      </w:r>
      <w:r>
        <w:rPr>
          <w:rFonts w:hint="eastAsia" w:ascii="微软雅黑" w:hAnsi="微软雅黑" w:eastAsia="微软雅黑" w:cs="微软雅黑"/>
          <w:sz w:val="30"/>
          <w:szCs w:val="30"/>
          <w:lang w:eastAsia="zh-CN"/>
        </w:rPr>
        <w:t>镕</w:t>
      </w:r>
      <w:r>
        <w:rPr>
          <w:rFonts w:hint="eastAsia" w:ascii="仿宋_GB2312" w:hAnsi="仿宋_GB2312" w:eastAsia="仿宋_GB2312" w:cs="仿宋_GB2312"/>
          <w:sz w:val="30"/>
          <w:szCs w:val="30"/>
          <w:lang w:eastAsia="zh-CN"/>
        </w:rPr>
        <w:t>基同志亲笔题写的“不做假账”校训，坚持高层次、国际化、应用型的办学理念，培育具有家国情怀、开阔视野和专业深度的高端人才。历经</w:t>
      </w:r>
      <w:r>
        <w:rPr>
          <w:rFonts w:hint="eastAsia" w:ascii="仿宋_GB2312" w:eastAsia="仿宋_GB2312"/>
          <w:sz w:val="30"/>
          <w:szCs w:val="30"/>
          <w:lang w:eastAsia="zh-CN"/>
        </w:rPr>
        <w:t>20年发展，逐步形成高端培训与学位教育齐头并进、人才培养与智库建设相辅相成、服务国内与面向国际融合互动的事业格局，积极服务财政中心工作，服务于现代化经济建设。学院打造了全国高端会计人才培养工程、全国大中型企事业单位总会计师培养（高端班）、国际化高端会计人才培养工程等一批品牌性人才培养项目。与香港中文大学联合推出我国第一个高级管理人员会计硕士学位项目（EMPAcc），与美国亚利桑那州立大学合作的EMBA项目名列英国《金融时报》全球排名前列。全日制研究生涵盖会计、审计、税务、金融四个专业，与上海财经大学联合培养会计学博士，并设有博士后科研工作站。学院年均线下培训学员约5万人次、招收学位教育学生300人，线上培训学员60万人次。 </w:t>
      </w:r>
      <w:r>
        <w:rPr>
          <w:rFonts w:hint="eastAsia" w:ascii="仿宋_GB2312" w:eastAsia="仿宋_GB2312"/>
          <w:sz w:val="30"/>
          <w:szCs w:val="30"/>
          <w:lang w:eastAsia="zh-CN"/>
        </w:rPr>
        <w:br w:type="textWrapping"/>
      </w:r>
      <w:r>
        <w:rPr>
          <w:rFonts w:hint="eastAsia" w:ascii="仿宋_GB2312" w:eastAsia="仿宋_GB2312"/>
          <w:sz w:val="30"/>
          <w:szCs w:val="30"/>
          <w:lang w:eastAsia="zh-CN"/>
        </w:rPr>
        <w:t>      学院推动构建“政产学研”融通的会计发展生态。设有会计、审计、金融、企业管理和应用经济5个系，并与多个合作伙伴一起，发起设立了大数据与会计发展、智能财务、CFO领导力、医院运营管理等多个跨越组织边界和学科边界的研究中心，积极开展应用型研究。联手亚洲开发银行等合作伙伴，打造了亚洲评价周、管理会计年度论坛、会计基础设施助推“一带一路”等高端交流平台。 </w:t>
      </w:r>
      <w:r>
        <w:rPr>
          <w:rFonts w:hint="eastAsia" w:ascii="仿宋_GB2312" w:eastAsia="仿宋_GB2312"/>
          <w:sz w:val="30"/>
          <w:szCs w:val="30"/>
          <w:lang w:eastAsia="zh-CN"/>
        </w:rPr>
        <w:br w:type="textWrapping"/>
      </w:r>
      <w:r>
        <w:rPr>
          <w:rFonts w:hint="eastAsia" w:ascii="仿宋_GB2312" w:eastAsia="仿宋_GB2312"/>
          <w:sz w:val="30"/>
          <w:szCs w:val="30"/>
          <w:lang w:eastAsia="zh-CN"/>
        </w:rPr>
        <w:t>      在国家领导人的关怀下，亚太财经与发展学院历经项目、中心、学院三个阶段，成长为财经领域重要的国际交流平台。年均培训境外学员1000多人次。学院承接商务部、教育部“发展中国家会计硕士专业学位项目”，主要面向发展中国家青年财经官员开展留学生培养工作，取得良好成效。 </w:t>
      </w:r>
      <w:r>
        <w:rPr>
          <w:rFonts w:hint="eastAsia" w:ascii="仿宋_GB2312" w:eastAsia="仿宋_GB2312"/>
          <w:sz w:val="30"/>
          <w:szCs w:val="30"/>
          <w:lang w:eastAsia="zh-CN"/>
        </w:rPr>
        <w:br w:type="textWrapping"/>
      </w:r>
      <w:r>
        <w:rPr>
          <w:rFonts w:hint="eastAsia" w:ascii="仿宋_GB2312" w:eastAsia="仿宋_GB2312"/>
          <w:sz w:val="30"/>
          <w:szCs w:val="30"/>
          <w:lang w:eastAsia="zh-CN"/>
        </w:rPr>
        <w:t>    学院努力建设会计人的“精神家园”。运营会计人的网上家园中国会计视野网，加强以诚信教育为特色的职业道德教育，积极弘扬先进会计文化。上海国家会计学院教育发展基金会着力整合社会资源助力学院创新发展，促进校友终身学习。 </w:t>
      </w:r>
      <w:r>
        <w:rPr>
          <w:rFonts w:hint="eastAsia" w:ascii="仿宋_GB2312" w:eastAsia="仿宋_GB2312"/>
          <w:sz w:val="30"/>
          <w:szCs w:val="30"/>
          <w:lang w:eastAsia="zh-CN"/>
        </w:rPr>
        <w:br w:type="textWrapping"/>
      </w:r>
      <w:r>
        <w:rPr>
          <w:rFonts w:hint="eastAsia" w:ascii="仿宋_GB2312" w:eastAsia="仿宋_GB2312"/>
          <w:sz w:val="30"/>
          <w:szCs w:val="30"/>
          <w:lang w:eastAsia="zh-CN"/>
        </w:rPr>
        <w:t>      面向未来，学院将以习近平新时代中国特色社会主义思想为指引，持续致力于发展成为中国财会领袖的培养摇篮、国家财经政策与企业财务运作的思想库、国内重要的财会信息集散中心以及财会领域重要的国际交流平台，加快建设国际知名会计学院，助力经济高质量发展。</w:t>
      </w:r>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alibri Light">
    <w:panose1 w:val="020F03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Times New Roman (标题 CS)">
    <w:altName w:val="宋体"/>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Songti SC">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Times New Roman (正文 CS 字体)">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9513163"/>
      <w:docPartObj>
        <w:docPartGallery w:val="AutoText"/>
      </w:docPartObj>
    </w:sdtPr>
    <w:sdtContent>
      <w:sdt>
        <w:sdtPr>
          <w:id w:val="1728636285"/>
          <w:docPartObj>
            <w:docPartGallery w:val="AutoText"/>
          </w:docPartObj>
        </w:sdtPr>
        <w:sdtContent>
          <w:p w14:paraId="5AE75DA7">
            <w:pPr>
              <w:pStyle w:val="5"/>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384AED99">
    <w:pPr>
      <w:spacing w:line="172" w:lineRule="auto"/>
      <w:ind w:left="4083"/>
      <w:rPr>
        <w:rFonts w:ascii="Times New Roman" w:hAnsi="Times New Roman" w:eastAsia="Times New Roman" w:cs="Times New Roman"/>
        <w:sz w:val="13"/>
        <w:szCs w:val="13"/>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482"/>
    <w:rsid w:val="0004562C"/>
    <w:rsid w:val="000A7259"/>
    <w:rsid w:val="001C7255"/>
    <w:rsid w:val="0021139F"/>
    <w:rsid w:val="00297803"/>
    <w:rsid w:val="003226F6"/>
    <w:rsid w:val="003F40A4"/>
    <w:rsid w:val="005142B5"/>
    <w:rsid w:val="00605285"/>
    <w:rsid w:val="00695A58"/>
    <w:rsid w:val="007A4B47"/>
    <w:rsid w:val="007F30D3"/>
    <w:rsid w:val="008258BB"/>
    <w:rsid w:val="00853D0B"/>
    <w:rsid w:val="0087276C"/>
    <w:rsid w:val="008F23B0"/>
    <w:rsid w:val="00927822"/>
    <w:rsid w:val="00AA0403"/>
    <w:rsid w:val="00AB1C43"/>
    <w:rsid w:val="00AC71AE"/>
    <w:rsid w:val="00BD7294"/>
    <w:rsid w:val="00C42754"/>
    <w:rsid w:val="00CC349D"/>
    <w:rsid w:val="00E42AF6"/>
    <w:rsid w:val="00EA3482"/>
    <w:rsid w:val="0410021C"/>
    <w:rsid w:val="05971356"/>
    <w:rsid w:val="06356EE1"/>
    <w:rsid w:val="07A47555"/>
    <w:rsid w:val="0AAB7EB0"/>
    <w:rsid w:val="0AC34AEB"/>
    <w:rsid w:val="19EB3B64"/>
    <w:rsid w:val="20FE0F21"/>
    <w:rsid w:val="237C4C1C"/>
    <w:rsid w:val="256000F5"/>
    <w:rsid w:val="25757B75"/>
    <w:rsid w:val="26843B46"/>
    <w:rsid w:val="30295150"/>
    <w:rsid w:val="33E30B63"/>
    <w:rsid w:val="37E868CC"/>
    <w:rsid w:val="454C4C45"/>
    <w:rsid w:val="4C55112A"/>
    <w:rsid w:val="59E7033A"/>
    <w:rsid w:val="65315268"/>
    <w:rsid w:val="6C0473C7"/>
    <w:rsid w:val="6E830E74"/>
    <w:rsid w:val="733E17DD"/>
    <w:rsid w:val="7371547F"/>
    <w:rsid w:val="774D0A1B"/>
    <w:rsid w:val="7A910FA6"/>
    <w:rsid w:val="7B50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link w:val="11"/>
    <w:unhideWhenUsed/>
    <w:qFormat/>
    <w:uiPriority w:val="9"/>
    <w:pPr>
      <w:keepNext/>
      <w:keepLines/>
      <w:widowControl w:val="0"/>
      <w:kinsoku/>
      <w:autoSpaceDE/>
      <w:autoSpaceDN/>
      <w:adjustRightInd/>
      <w:snapToGrid/>
      <w:spacing w:line="480" w:lineRule="exact"/>
      <w:ind w:firstLine="480" w:firstLineChars="200"/>
      <w:jc w:val="both"/>
      <w:textAlignment w:val="auto"/>
      <w:outlineLvl w:val="1"/>
    </w:pPr>
    <w:rPr>
      <w:rFonts w:eastAsia="华文仿宋" w:cs="Times New Roman (标题 CS)" w:asciiTheme="majorHAnsi" w:hAnsiTheme="majorHAnsi"/>
      <w:b/>
      <w:bCs/>
      <w:snapToGrid/>
      <w:color w:val="auto"/>
      <w:kern w:val="2"/>
      <w:sz w:val="24"/>
      <w:szCs w:val="32"/>
      <w:lang w:eastAsia="zh-CN"/>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rPr>
  </w:style>
  <w:style w:type="paragraph" w:styleId="4">
    <w:name w:val="Plain Text"/>
    <w:basedOn w:val="1"/>
    <w:qFormat/>
    <w:uiPriority w:val="0"/>
    <w:rPr>
      <w:rFonts w:ascii="宋体" w:hAnsi="Courier New"/>
      <w:sz w:val="34"/>
    </w:rPr>
  </w:style>
  <w:style w:type="paragraph" w:styleId="5">
    <w:name w:val="footer"/>
    <w:basedOn w:val="1"/>
    <w:link w:val="13"/>
    <w:uiPriority w:val="99"/>
    <w:pPr>
      <w:tabs>
        <w:tab w:val="center" w:pos="4153"/>
        <w:tab w:val="right" w:pos="8306"/>
      </w:tabs>
    </w:pPr>
    <w:rPr>
      <w:sz w:val="18"/>
      <w:szCs w:val="18"/>
    </w:rPr>
  </w:style>
  <w:style w:type="paragraph" w:styleId="6">
    <w:name w:val="header"/>
    <w:basedOn w:val="1"/>
    <w:link w:val="12"/>
    <w:uiPriority w:val="0"/>
    <w:pPr>
      <w:tabs>
        <w:tab w:val="center" w:pos="4153"/>
        <w:tab w:val="right" w:pos="8306"/>
      </w:tabs>
      <w:jc w:val="center"/>
    </w:pPr>
    <w:rPr>
      <w:sz w:val="18"/>
      <w:szCs w:val="18"/>
    </w:rPr>
  </w:style>
  <w:style w:type="paragraph" w:styleId="7">
    <w:name w:val="Normal (Web)"/>
    <w:basedOn w:val="1"/>
    <w:qFormat/>
    <w:uiPriority w:val="0"/>
    <w:pPr>
      <w:spacing w:beforeAutospacing="1" w:afterAutospacing="1"/>
    </w:pPr>
    <w:rPr>
      <w:rFonts w:cs="Times New Roman"/>
      <w:sz w:val="24"/>
      <w:lang w:eastAsia="zh-CN"/>
    </w:rPr>
  </w:style>
  <w:style w:type="character" w:styleId="10">
    <w:name w:val="Strong"/>
    <w:basedOn w:val="9"/>
    <w:qFormat/>
    <w:uiPriority w:val="0"/>
    <w:rPr>
      <w:b/>
    </w:rPr>
  </w:style>
  <w:style w:type="character" w:customStyle="1" w:styleId="11">
    <w:name w:val="标题 2 字符"/>
    <w:basedOn w:val="9"/>
    <w:link w:val="2"/>
    <w:qFormat/>
    <w:uiPriority w:val="9"/>
    <w:rPr>
      <w:rFonts w:eastAsia="华文仿宋" w:cs="Times New Roman (标题 CS)" w:asciiTheme="majorHAnsi" w:hAnsiTheme="majorHAnsi"/>
      <w:b/>
      <w:bCs/>
      <w:kern w:val="2"/>
      <w:sz w:val="24"/>
      <w:szCs w:val="32"/>
    </w:rPr>
  </w:style>
  <w:style w:type="character" w:customStyle="1" w:styleId="12">
    <w:name w:val="页眉 字符"/>
    <w:basedOn w:val="9"/>
    <w:link w:val="6"/>
    <w:uiPriority w:val="0"/>
    <w:rPr>
      <w:rFonts w:ascii="Arial" w:hAnsi="Arial" w:eastAsia="Arial" w:cs="Arial"/>
      <w:snapToGrid w:val="0"/>
      <w:color w:val="000000"/>
      <w:sz w:val="18"/>
      <w:szCs w:val="18"/>
      <w:lang w:eastAsia="en-US"/>
    </w:rPr>
  </w:style>
  <w:style w:type="character" w:customStyle="1" w:styleId="13">
    <w:name w:val="页脚 字符"/>
    <w:basedOn w:val="9"/>
    <w:link w:val="5"/>
    <w:uiPriority w:val="99"/>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DDFF7D-1154-409C-9F6B-B8959B3898E8}">
  <ds:schemaRefs/>
</ds:datastoreItem>
</file>

<file path=docProps/app.xml><?xml version="1.0" encoding="utf-8"?>
<Properties xmlns="http://schemas.openxmlformats.org/officeDocument/2006/extended-properties" xmlns:vt="http://schemas.openxmlformats.org/officeDocument/2006/docPropsVTypes">
  <Template>Normal</Template>
  <Pages>18</Pages>
  <Words>7482</Words>
  <Characters>7759</Characters>
  <Lines>57</Lines>
  <Paragraphs>16</Paragraphs>
  <TotalTime>716</TotalTime>
  <ScaleCrop>false</ScaleCrop>
  <LinksUpToDate>false</LinksUpToDate>
  <CharactersWithSpaces>7877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2025-01-17T01:30:00Z</dcterms:created>
  <dc:creator>cwk</dc:creator>
  <cp:lastModifiedBy>陈朝伟</cp:lastModifiedBy>
  <dcterms:modified xsi:type="dcterms:W3CDTF">2025-01-26T00:30:44Z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eyJoZGlkIjoiNjhkMWQ5ZDUzODk5ZGViMjA1ZDlmNDE5Yjk4OGUzYTUiLCJ1c2VySWQiOiIzNjI3MjYxNTUifQ==</vt:lpwstr>
  </property>
  <property fmtid="{D5CDD505-2E9C-101B-9397-08002B2CF9AE}" pid="4" name="ICV">
    <vt:lpwstr>A108C4AF57024CFB9EB2322B29D8F11F_13</vt:lpwstr>
  </property>
</Properties>
</file>