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272B629" w14:textId="77777777" w:rsidR="00AF026E" w:rsidRDefault="00AF026E">
      <w:pPr>
        <w:spacing w:line="360" w:lineRule="auto"/>
        <w:jc w:val="distribute"/>
        <w:rPr>
          <w:rFonts w:ascii="Kaiti SC" w:eastAsia="Kaiti SC" w:hAnsi="Kaiti SC" w:cs="楷体" w:hint="eastAsia"/>
          <w:b/>
          <w:bCs/>
          <w:color w:val="FF3300"/>
          <w:spacing w:val="-40"/>
          <w:sz w:val="96"/>
          <w:szCs w:val="96"/>
        </w:rPr>
      </w:pPr>
    </w:p>
    <w:p w14:paraId="25C2F95F" w14:textId="77777777" w:rsidR="00AF026E" w:rsidRDefault="00000000">
      <w:pPr>
        <w:spacing w:line="360" w:lineRule="auto"/>
        <w:jc w:val="center"/>
        <w:rPr>
          <w:rFonts w:ascii="宋体" w:hAnsi="宋体" w:hint="eastAsia"/>
          <w:b/>
          <w:bCs/>
          <w:color w:val="FF3300"/>
          <w:spacing w:val="-40"/>
          <w:sz w:val="84"/>
          <w:szCs w:val="84"/>
        </w:rPr>
      </w:pPr>
      <w:r>
        <w:rPr>
          <w:rFonts w:ascii="宋体" w:hAnsi="宋体" w:hint="eastAsia"/>
          <w:b/>
          <w:bCs/>
          <w:color w:val="FF3300"/>
          <w:spacing w:val="-40"/>
          <w:sz w:val="84"/>
          <w:szCs w:val="84"/>
        </w:rPr>
        <w:t>上海国家会计学院</w:t>
      </w:r>
    </w:p>
    <w:p w14:paraId="43E56703" w14:textId="77777777" w:rsidR="00AF026E" w:rsidRDefault="00AF026E">
      <w:pPr>
        <w:spacing w:line="360" w:lineRule="auto"/>
        <w:rPr>
          <w:rFonts w:ascii="Songti SC" w:eastAsia="Songti SC" w:hAnsi="Songti SC" w:hint="eastAsia"/>
          <w:b/>
          <w:bCs/>
          <w:sz w:val="11"/>
        </w:rPr>
      </w:pPr>
    </w:p>
    <w:p w14:paraId="52ADAC17" w14:textId="77777777" w:rsidR="00AF026E" w:rsidRDefault="00000000">
      <w:pPr>
        <w:spacing w:line="360" w:lineRule="auto"/>
        <w:jc w:val="center"/>
        <w:rPr>
          <w:rFonts w:ascii="宋体" w:hAnsi="宋体" w:cs="微软雅黑" w:hint="eastAsia"/>
          <w:bCs/>
          <w:sz w:val="32"/>
          <w:szCs w:val="32"/>
        </w:rPr>
      </w:pPr>
      <w:r>
        <w:rPr>
          <w:rFonts w:ascii="宋体" w:hAnsi="宋体" w:cs="楷体" w:hint="eastAsia"/>
          <w:bCs/>
          <w:sz w:val="32"/>
          <w:szCs w:val="32"/>
        </w:rPr>
        <w:t xml:space="preserve"> </w:t>
      </w:r>
      <w:r>
        <w:rPr>
          <w:rFonts w:ascii="宋体" w:hAnsi="宋体" w:cs="微软雅黑" w:hint="eastAsia"/>
          <w:bCs/>
          <w:sz w:val="32"/>
          <w:szCs w:val="32"/>
        </w:rPr>
        <w:t xml:space="preserve">  上国会</w:t>
      </w:r>
      <w:proofErr w:type="gramStart"/>
      <w:r>
        <w:rPr>
          <w:rFonts w:ascii="宋体" w:hAnsi="宋体" w:cs="微软雅黑" w:hint="eastAsia"/>
          <w:bCs/>
          <w:sz w:val="32"/>
          <w:szCs w:val="32"/>
        </w:rPr>
        <w:t>培</w:t>
      </w:r>
      <w:proofErr w:type="gramEnd"/>
      <w:r>
        <w:rPr>
          <w:rFonts w:ascii="宋体" w:hAnsi="宋体" w:cs="微软雅黑" w:hint="eastAsia"/>
          <w:bCs/>
          <w:sz w:val="32"/>
          <w:szCs w:val="32"/>
        </w:rPr>
        <w:t>〔20</w:t>
      </w:r>
      <w:r>
        <w:rPr>
          <w:rFonts w:ascii="宋体" w:hAnsi="宋体" w:cs="微软雅黑"/>
          <w:bCs/>
          <w:sz w:val="32"/>
          <w:szCs w:val="32"/>
        </w:rPr>
        <w:t>24</w:t>
      </w:r>
      <w:r>
        <w:rPr>
          <w:rFonts w:ascii="宋体" w:hAnsi="宋体" w:cs="微软雅黑" w:hint="eastAsia"/>
          <w:bCs/>
          <w:sz w:val="32"/>
          <w:szCs w:val="32"/>
        </w:rPr>
        <w:t>〕</w:t>
      </w:r>
      <w:r>
        <w:rPr>
          <w:rFonts w:ascii="宋体" w:hAnsi="宋体" w:cs="微软雅黑"/>
          <w:bCs/>
          <w:sz w:val="32"/>
          <w:szCs w:val="32"/>
        </w:rPr>
        <w:t>42</w:t>
      </w:r>
      <w:r>
        <w:rPr>
          <w:rFonts w:ascii="宋体" w:hAnsi="宋体" w:cs="微软雅黑" w:hint="eastAsia"/>
          <w:bCs/>
          <w:sz w:val="32"/>
          <w:szCs w:val="32"/>
        </w:rPr>
        <w:t>号</w:t>
      </w:r>
    </w:p>
    <w:p w14:paraId="6BAFCB90" w14:textId="77777777" w:rsidR="00AF026E" w:rsidRDefault="00000000">
      <w:pPr>
        <w:spacing w:line="360" w:lineRule="auto"/>
        <w:jc w:val="center"/>
        <w:rPr>
          <w:rFonts w:ascii="仿宋_GB2312" w:eastAsia="仿宋_GB2312" w:hAnsi="楷体" w:cs="楷体" w:hint="eastAsia"/>
          <w:b/>
          <w:bCs/>
          <w:sz w:val="20"/>
          <w:szCs w:val="18"/>
        </w:rPr>
      </w:pPr>
      <w:r>
        <w:rPr>
          <w:rFonts w:ascii="仿宋_GB2312" w:eastAsia="仿宋_GB2312" w:hAnsi="等线"/>
          <w:noProof/>
          <w:sz w:val="24"/>
          <w:szCs w:val="24"/>
        </w:rPr>
        <mc:AlternateContent>
          <mc:Choice Requires="wps">
            <w:drawing>
              <wp:anchor distT="0" distB="0" distL="114300" distR="114300" simplePos="0" relativeHeight="251659264" behindDoc="0" locked="0" layoutInCell="1" allowOverlap="1" wp14:anchorId="65427726" wp14:editId="41E1D135">
                <wp:simplePos x="0" y="0"/>
                <wp:positionH relativeFrom="column">
                  <wp:posOffset>-123825</wp:posOffset>
                </wp:positionH>
                <wp:positionV relativeFrom="paragraph">
                  <wp:posOffset>283210</wp:posOffset>
                </wp:positionV>
                <wp:extent cx="5461635" cy="13970"/>
                <wp:effectExtent l="20320" t="15240" r="13970" b="18415"/>
                <wp:wrapNone/>
                <wp:docPr id="136972994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xmlns:wpsCustomData="http://www.wps.cn/officeDocument/2013/wpsCustomData">
            <w:pict>
              <v:line id="Line 4" o:spid="_x0000_s1026" o:spt="20" style="position:absolute;left:0pt;flip:y;margin-left:-9.75pt;margin-top:22.3pt;height:1.1pt;width:430.05pt;z-index:251659264;mso-width-relative:page;mso-height-relative:page;" filled="f" stroked="t" coordsize="21600,21600" o:gfxdata="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hJQAtUAAAAJAQAADwAA&#10;AAAAAAABACAAAAAiAAAAZHJzL2Rvd25yZXYueG1sUEsBAhQAFAAAAAgAh07iQEnzqQfgAQAAtwMA&#10;AA4AAAAAAAAAAQAgAAAAJAEAAGRycy9lMm9Eb2MueG1sUEsFBgAAAAAGAAYAWQEAAHYFAAAAAA==&#10;">
                <v:fill on="f" focussize="0,0"/>
                <v:stroke weight="2pt" color="#FF0000" joinstyle="round"/>
                <v:imagedata o:title=""/>
                <o:lock v:ext="edit" aspectratio="f"/>
              </v:line>
            </w:pict>
          </mc:Fallback>
        </mc:AlternateContent>
      </w:r>
    </w:p>
    <w:p w14:paraId="52215204" w14:textId="77777777" w:rsidR="00AF026E" w:rsidRDefault="00AF026E">
      <w:pPr>
        <w:widowControl/>
        <w:spacing w:line="360" w:lineRule="auto"/>
        <w:jc w:val="center"/>
        <w:rPr>
          <w:rFonts w:ascii="等线" w:eastAsia="等线" w:hAnsi="等线" w:hint="eastAsia"/>
          <w:b/>
          <w:sz w:val="44"/>
          <w:szCs w:val="44"/>
        </w:rPr>
      </w:pPr>
    </w:p>
    <w:p w14:paraId="63544349" w14:textId="77777777" w:rsidR="00AF026E" w:rsidRDefault="00000000">
      <w:pPr>
        <w:widowControl/>
        <w:spacing w:line="360" w:lineRule="auto"/>
        <w:jc w:val="center"/>
        <w:rPr>
          <w:rFonts w:ascii="宋体" w:hAnsi="宋体" w:hint="eastAsia"/>
          <w:b/>
          <w:sz w:val="36"/>
          <w:szCs w:val="36"/>
        </w:rPr>
      </w:pPr>
      <w:r>
        <w:rPr>
          <w:rFonts w:ascii="宋体" w:hAnsi="宋体" w:hint="eastAsia"/>
          <w:b/>
          <w:sz w:val="36"/>
          <w:szCs w:val="36"/>
        </w:rPr>
        <w:t>关于举办“新型监管机制下的企业税务稽查与风险应对”</w:t>
      </w:r>
    </w:p>
    <w:p w14:paraId="32A62D93" w14:textId="77777777" w:rsidR="00AF026E" w:rsidRDefault="00000000">
      <w:pPr>
        <w:widowControl/>
        <w:spacing w:line="360" w:lineRule="auto"/>
        <w:jc w:val="center"/>
        <w:rPr>
          <w:rFonts w:ascii="宋体" w:hAnsi="宋体" w:hint="eastAsia"/>
          <w:b/>
          <w:sz w:val="36"/>
          <w:szCs w:val="36"/>
        </w:rPr>
      </w:pPr>
      <w:r>
        <w:rPr>
          <w:rFonts w:ascii="宋体" w:hAnsi="宋体" w:hint="eastAsia"/>
          <w:b/>
          <w:sz w:val="36"/>
          <w:szCs w:val="36"/>
        </w:rPr>
        <w:t>研修班的通知</w:t>
      </w:r>
    </w:p>
    <w:p w14:paraId="275F164A" w14:textId="77777777" w:rsidR="00AF026E" w:rsidRDefault="00000000" w:rsidP="00D12419">
      <w:pPr>
        <w:widowControl/>
        <w:spacing w:line="360" w:lineRule="auto"/>
        <w:jc w:val="left"/>
        <w:rPr>
          <w:rFonts w:ascii="仿宋_GB2312" w:eastAsia="仿宋_GB2312" w:hAnsi="宋体" w:hint="eastAsia"/>
          <w:sz w:val="32"/>
          <w:szCs w:val="32"/>
        </w:rPr>
      </w:pPr>
      <w:r>
        <w:rPr>
          <w:rFonts w:ascii="仿宋_GB2312" w:eastAsia="仿宋_GB2312" w:hAnsi="宋体" w:hint="eastAsia"/>
          <w:sz w:val="32"/>
          <w:szCs w:val="32"/>
        </w:rPr>
        <w:t>各相关单位：</w:t>
      </w:r>
    </w:p>
    <w:p w14:paraId="05E6D374" w14:textId="77777777" w:rsidR="00AF026E" w:rsidRDefault="00000000">
      <w:pPr>
        <w:widowControl/>
        <w:spacing w:line="360" w:lineRule="auto"/>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中办、国办印发的《关于进一步深化税收征管改革的意见》明确要深入推进精确执法、精细服务、精准监管、精诚共治，从经验式执法向科学精确执法转变，从“以票管税”向“以数治税”分类精准监管转变，到2025年基本建成功能强大的智慧税务，推动实现税收征管从“合作”到</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合并”再到“合成”的重大突破。金税四期</w:t>
      </w:r>
      <w:proofErr w:type="gramStart"/>
      <w:r>
        <w:rPr>
          <w:rFonts w:ascii="仿宋_GB2312" w:eastAsia="仿宋_GB2312" w:hAnsi="宋体" w:hint="eastAsia"/>
          <w:sz w:val="32"/>
          <w:szCs w:val="32"/>
        </w:rPr>
        <w:t>数电发票</w:t>
      </w:r>
      <w:proofErr w:type="gramEnd"/>
      <w:r>
        <w:rPr>
          <w:rFonts w:ascii="仿宋_GB2312" w:eastAsia="仿宋_GB2312" w:hAnsi="宋体" w:hint="eastAsia"/>
          <w:sz w:val="32"/>
          <w:szCs w:val="32"/>
        </w:rPr>
        <w:t>的全面上线使税务机关能充分利用大数据手段实施“以数治税”。纳税人将面临“互联网+大数据+云计算”技术支持下更为精准、严格的稽查环境。</w:t>
      </w:r>
    </w:p>
    <w:p w14:paraId="034AAFF5" w14:textId="0DF0F516" w:rsidR="00AF026E" w:rsidRDefault="00000000">
      <w:pPr>
        <w:widowControl/>
        <w:spacing w:line="360" w:lineRule="auto"/>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二十届三中全会明确要求深化税收征管，清理妨碍公平竞争、招商引资的税收洼地政策，诸多地方政府要求“颗粒归仓、应收尽收”，加强征管以防范财政风险成为必然选择。</w:t>
      </w:r>
      <w:r w:rsidR="009135FB">
        <w:rPr>
          <w:rFonts w:ascii="仿宋_GB2312" w:eastAsia="仿宋_GB2312" w:hAnsi="宋体" w:hint="eastAsia"/>
          <w:sz w:val="32"/>
          <w:szCs w:val="32"/>
        </w:rPr>
        <w:t>2024年3月</w:t>
      </w:r>
      <w:r>
        <w:rPr>
          <w:rFonts w:ascii="仿宋_GB2312" w:eastAsia="仿宋_GB2312" w:hAnsi="宋体" w:hint="eastAsia"/>
          <w:sz w:val="32"/>
          <w:szCs w:val="32"/>
        </w:rPr>
        <w:t>，最高</w:t>
      </w:r>
      <w:r>
        <w:rPr>
          <w:rFonts w:ascii="仿宋_GB2312" w:eastAsia="仿宋_GB2312" w:hAnsi="宋体" w:hint="eastAsia"/>
          <w:sz w:val="32"/>
          <w:szCs w:val="32"/>
        </w:rPr>
        <w:lastRenderedPageBreak/>
        <w:t>法和最高</w:t>
      </w:r>
      <w:proofErr w:type="gramStart"/>
      <w:r>
        <w:rPr>
          <w:rFonts w:ascii="仿宋_GB2312" w:eastAsia="仿宋_GB2312" w:hAnsi="宋体" w:hint="eastAsia"/>
          <w:sz w:val="32"/>
          <w:szCs w:val="32"/>
        </w:rPr>
        <w:t>检发布</w:t>
      </w:r>
      <w:proofErr w:type="gramEnd"/>
      <w:r>
        <w:rPr>
          <w:rFonts w:ascii="仿宋_GB2312" w:eastAsia="仿宋_GB2312" w:hAnsi="宋体" w:hint="eastAsia"/>
          <w:sz w:val="32"/>
          <w:szCs w:val="32"/>
        </w:rPr>
        <w:t>《关于办理危害税收征管刑事案件适用法律若干问题的解释》，这对于企业的税务合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提出了更高的要求。</w:t>
      </w:r>
    </w:p>
    <w:p w14:paraId="634D00ED" w14:textId="77777777" w:rsidR="00AF026E" w:rsidRDefault="00000000">
      <w:pPr>
        <w:widowControl/>
        <w:spacing w:line="360" w:lineRule="auto"/>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针对这些挑战，上海国家会计学院特邀资深税务专家，将帮助您深入解析税务稽查的流程和风险，包括稽查的触发因素、实施流程、实操中面临的问题，以及掌握科学、有效的应对策略，帮助您在复杂多变的税务环境中为企业筑起一道防范税务稽查风险的坚实屏障，使企业在面对税务稽查时，能够应对自如，确保合法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、减少涉税风险，达成税收优化之初衷。</w:t>
      </w:r>
    </w:p>
    <w:p w14:paraId="1C296369" w14:textId="77777777" w:rsidR="00AF026E" w:rsidRDefault="00000000">
      <w:pPr>
        <w:widowControl/>
        <w:spacing w:line="360" w:lineRule="auto"/>
        <w:ind w:firstLineChars="200" w:firstLine="640"/>
        <w:jc w:val="left"/>
        <w:rPr>
          <w:rFonts w:ascii="仿宋_GB2312" w:eastAsia="仿宋_GB2312" w:hAnsi="宋体" w:cs="微软雅黑" w:hint="eastAsia"/>
          <w:sz w:val="32"/>
          <w:szCs w:val="32"/>
        </w:rPr>
      </w:pPr>
      <w:r>
        <w:rPr>
          <w:rFonts w:ascii="仿宋_GB2312" w:eastAsia="仿宋_GB2312" w:hAnsi="宋体" w:cs="微软雅黑" w:hint="eastAsia"/>
          <w:sz w:val="32"/>
          <w:szCs w:val="32"/>
        </w:rPr>
        <w:t>附件：一、课程简介</w:t>
      </w:r>
    </w:p>
    <w:p w14:paraId="7AD77F6B" w14:textId="77777777" w:rsidR="00AF026E" w:rsidRDefault="00000000">
      <w:pPr>
        <w:widowControl/>
        <w:spacing w:line="360" w:lineRule="auto"/>
        <w:ind w:firstLineChars="500" w:firstLine="1600"/>
        <w:jc w:val="left"/>
        <w:rPr>
          <w:rFonts w:ascii="仿宋_GB2312" w:eastAsia="仿宋_GB2312" w:hAnsi="宋体" w:cs="微软雅黑" w:hint="eastAsia"/>
          <w:sz w:val="32"/>
          <w:szCs w:val="32"/>
        </w:rPr>
      </w:pPr>
      <w:r>
        <w:rPr>
          <w:rFonts w:ascii="仿宋_GB2312" w:eastAsia="仿宋_GB2312" w:hAnsi="宋体" w:cs="微软雅黑" w:hint="eastAsia"/>
          <w:sz w:val="32"/>
          <w:szCs w:val="32"/>
        </w:rPr>
        <w:t>二、报名回执表</w:t>
      </w:r>
    </w:p>
    <w:p w14:paraId="384028A1" w14:textId="77777777" w:rsidR="00AF026E" w:rsidRDefault="00AF026E">
      <w:pPr>
        <w:widowControl/>
        <w:spacing w:line="360" w:lineRule="auto"/>
        <w:ind w:firstLineChars="500" w:firstLine="1600"/>
        <w:jc w:val="left"/>
        <w:rPr>
          <w:rFonts w:ascii="仿宋_GB2312" w:eastAsia="仿宋_GB2312" w:hAnsi="宋体" w:cs="微软雅黑" w:hint="eastAsia"/>
          <w:sz w:val="32"/>
          <w:szCs w:val="32"/>
        </w:rPr>
      </w:pPr>
    </w:p>
    <w:p w14:paraId="10636C9A" w14:textId="77777777" w:rsidR="00AF026E" w:rsidRDefault="00AF026E">
      <w:pPr>
        <w:widowControl/>
        <w:spacing w:line="360" w:lineRule="auto"/>
        <w:ind w:firstLineChars="500" w:firstLine="1600"/>
        <w:jc w:val="left"/>
        <w:rPr>
          <w:rFonts w:ascii="仿宋_GB2312" w:eastAsia="仿宋_GB2312" w:hAnsi="宋体" w:cs="微软雅黑" w:hint="eastAsia"/>
          <w:sz w:val="32"/>
          <w:szCs w:val="32"/>
        </w:rPr>
      </w:pPr>
    </w:p>
    <w:p w14:paraId="514A07B1" w14:textId="77777777" w:rsidR="00AF026E" w:rsidRDefault="00AF026E">
      <w:pPr>
        <w:widowControl/>
        <w:spacing w:line="360" w:lineRule="auto"/>
        <w:ind w:firstLineChars="500" w:firstLine="1600"/>
        <w:jc w:val="left"/>
        <w:rPr>
          <w:rFonts w:ascii="仿宋_GB2312" w:eastAsia="仿宋_GB2312" w:hAnsi="宋体" w:cs="微软雅黑" w:hint="eastAsia"/>
          <w:sz w:val="32"/>
          <w:szCs w:val="32"/>
        </w:rPr>
      </w:pPr>
    </w:p>
    <w:p w14:paraId="2015F089" w14:textId="77777777" w:rsidR="00AF026E" w:rsidRDefault="00AF026E">
      <w:pPr>
        <w:widowControl/>
        <w:spacing w:line="360" w:lineRule="auto"/>
        <w:ind w:firstLineChars="500" w:firstLine="1600"/>
        <w:jc w:val="left"/>
        <w:rPr>
          <w:rFonts w:ascii="仿宋_GB2312" w:eastAsia="仿宋_GB2312" w:hAnsi="宋体" w:cs="微软雅黑" w:hint="eastAsia"/>
          <w:sz w:val="32"/>
          <w:szCs w:val="32"/>
        </w:rPr>
      </w:pPr>
    </w:p>
    <w:p w14:paraId="04B98C71" w14:textId="77777777" w:rsidR="00AF026E" w:rsidRDefault="00AF026E">
      <w:pPr>
        <w:widowControl/>
        <w:spacing w:line="360" w:lineRule="auto"/>
        <w:ind w:firstLineChars="500" w:firstLine="1600"/>
        <w:jc w:val="left"/>
        <w:rPr>
          <w:rFonts w:ascii="仿宋_GB2312" w:eastAsia="仿宋_GB2312" w:hAnsi="宋体" w:cs="微软雅黑" w:hint="eastAsia"/>
          <w:sz w:val="32"/>
          <w:szCs w:val="32"/>
        </w:rPr>
      </w:pPr>
    </w:p>
    <w:p w14:paraId="5D4D8844" w14:textId="77777777" w:rsidR="00AF026E" w:rsidRDefault="00AF026E">
      <w:pPr>
        <w:widowControl/>
        <w:spacing w:line="360" w:lineRule="auto"/>
        <w:ind w:firstLineChars="500" w:firstLine="1600"/>
        <w:jc w:val="left"/>
        <w:rPr>
          <w:rFonts w:ascii="仿宋_GB2312" w:eastAsia="仿宋_GB2312" w:hAnsi="宋体" w:cs="微软雅黑" w:hint="eastAsia"/>
          <w:sz w:val="32"/>
          <w:szCs w:val="32"/>
        </w:rPr>
      </w:pPr>
    </w:p>
    <w:p w14:paraId="027181E8" w14:textId="77777777" w:rsidR="00AF026E" w:rsidRDefault="00AF026E">
      <w:pPr>
        <w:spacing w:line="360" w:lineRule="auto"/>
        <w:rPr>
          <w:rFonts w:ascii="仿宋_GB2312" w:eastAsia="仿宋_GB2312" w:hAnsi="宋体" w:cs="微软雅黑" w:hint="eastAsia"/>
          <w:sz w:val="32"/>
          <w:szCs w:val="32"/>
        </w:rPr>
      </w:pPr>
    </w:p>
    <w:p w14:paraId="579155A8" w14:textId="77777777" w:rsidR="00AF026E" w:rsidRDefault="00000000">
      <w:pPr>
        <w:spacing w:line="360" w:lineRule="auto"/>
        <w:jc w:val="right"/>
        <w:rPr>
          <w:rFonts w:ascii="仿宋_GB2312" w:eastAsia="仿宋_GB2312" w:hAnsi="宋体" w:cs="微软雅黑" w:hint="eastAsia"/>
          <w:sz w:val="32"/>
          <w:szCs w:val="32"/>
        </w:rPr>
      </w:pPr>
      <w:r>
        <w:rPr>
          <w:rFonts w:ascii="仿宋_GB2312" w:eastAsia="仿宋_GB2312" w:hAnsi="宋体" w:cs="微软雅黑" w:hint="eastAsia"/>
          <w:sz w:val="32"/>
          <w:szCs w:val="32"/>
        </w:rPr>
        <w:t>上海国家会计学院</w:t>
      </w:r>
    </w:p>
    <w:p w14:paraId="7D8FE698" w14:textId="77777777" w:rsidR="00AF026E" w:rsidRDefault="00000000">
      <w:pPr>
        <w:spacing w:line="360" w:lineRule="auto"/>
        <w:jc w:val="right"/>
        <w:rPr>
          <w:rFonts w:ascii="仿宋_GB2312" w:eastAsia="仿宋_GB2312" w:hAnsi="宋体" w:cs="微软雅黑" w:hint="eastAsia"/>
          <w:sz w:val="32"/>
          <w:szCs w:val="32"/>
        </w:rPr>
      </w:pPr>
      <w:r>
        <w:rPr>
          <w:rFonts w:ascii="仿宋_GB2312" w:eastAsia="仿宋_GB2312" w:hAnsi="宋体" w:hint="eastAsia"/>
          <w:sz w:val="32"/>
          <w:szCs w:val="32"/>
        </w:rPr>
        <w:t>教务二部</w:t>
      </w:r>
    </w:p>
    <w:p w14:paraId="148E60E3" w14:textId="77777777" w:rsidR="00AF026E" w:rsidRDefault="00AF026E">
      <w:pPr>
        <w:spacing w:line="360" w:lineRule="auto"/>
        <w:jc w:val="right"/>
        <w:rPr>
          <w:rFonts w:ascii="仿宋_GB2312" w:eastAsia="仿宋_GB2312" w:hAnsi="宋体" w:cs="微软雅黑" w:hint="eastAsia"/>
          <w:sz w:val="32"/>
          <w:szCs w:val="32"/>
        </w:rPr>
      </w:pPr>
    </w:p>
    <w:p w14:paraId="3527AE1F" w14:textId="77777777" w:rsidR="00AF026E" w:rsidRDefault="00000000">
      <w:pPr>
        <w:spacing w:line="360" w:lineRule="auto"/>
        <w:jc w:val="right"/>
        <w:rPr>
          <w:rFonts w:ascii="仿宋_GB2312" w:eastAsia="仿宋_GB2312" w:hAnsi="宋体" w:cs="微软雅黑" w:hint="eastAsia"/>
          <w:sz w:val="32"/>
          <w:szCs w:val="32"/>
        </w:rPr>
      </w:pPr>
      <w:r>
        <w:rPr>
          <w:rFonts w:ascii="仿宋_GB2312" w:eastAsia="仿宋_GB2312" w:hAnsi="宋体" w:cs="微软雅黑" w:hint="eastAsia"/>
          <w:sz w:val="32"/>
          <w:szCs w:val="32"/>
        </w:rPr>
        <w:t>2025年</w:t>
      </w:r>
      <w:r>
        <w:rPr>
          <w:rFonts w:ascii="仿宋_GB2312" w:eastAsia="仿宋_GB2312" w:hAnsi="宋体" w:cs="微软雅黑"/>
          <w:sz w:val="32"/>
          <w:szCs w:val="32"/>
        </w:rPr>
        <w:t>1</w:t>
      </w:r>
      <w:r>
        <w:rPr>
          <w:rFonts w:ascii="仿宋_GB2312" w:eastAsia="仿宋_GB2312" w:hAnsi="宋体" w:cs="微软雅黑" w:hint="eastAsia"/>
          <w:sz w:val="32"/>
          <w:szCs w:val="32"/>
        </w:rPr>
        <w:t>月</w:t>
      </w:r>
    </w:p>
    <w:p w14:paraId="4E4FA3F1" w14:textId="77777777" w:rsidR="00AF026E" w:rsidRDefault="00000000">
      <w:pPr>
        <w:spacing w:line="360" w:lineRule="auto"/>
        <w:rPr>
          <w:rFonts w:ascii="仿宋_GB2312" w:eastAsia="仿宋_GB2312" w:hAnsi="宋体" w:hint="eastAsia"/>
          <w:b/>
          <w:color w:val="000000"/>
          <w:sz w:val="32"/>
          <w:szCs w:val="32"/>
        </w:rPr>
      </w:pPr>
      <w:r>
        <w:rPr>
          <w:rFonts w:ascii="仿宋_GB2312" w:eastAsia="仿宋_GB2312" w:hAnsi="宋体" w:hint="eastAsia"/>
          <w:b/>
          <w:color w:val="000000"/>
          <w:sz w:val="32"/>
          <w:szCs w:val="32"/>
        </w:rPr>
        <w:t>附件一：课程简介</w:t>
      </w:r>
    </w:p>
    <w:p w14:paraId="605135BB" w14:textId="77777777" w:rsidR="00AF026E" w:rsidRDefault="00000000">
      <w:pPr>
        <w:numPr>
          <w:ilvl w:val="0"/>
          <w:numId w:val="1"/>
        </w:numPr>
        <w:spacing w:line="360" w:lineRule="auto"/>
        <w:rPr>
          <w:rFonts w:ascii="仿宋_GB2312" w:eastAsia="仿宋_GB2312" w:hAnsi="宋体" w:hint="eastAsia"/>
          <w:b/>
          <w:color w:val="000000"/>
          <w:sz w:val="32"/>
          <w:szCs w:val="32"/>
        </w:rPr>
      </w:pPr>
      <w:r>
        <w:rPr>
          <w:rFonts w:ascii="仿宋_GB2312" w:eastAsia="仿宋_GB2312" w:hAnsi="宋体" w:hint="eastAsia"/>
          <w:b/>
          <w:color w:val="000000"/>
          <w:sz w:val="32"/>
          <w:szCs w:val="32"/>
        </w:rPr>
        <w:lastRenderedPageBreak/>
        <w:t>培训安排</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402"/>
        <w:gridCol w:w="1701"/>
        <w:gridCol w:w="2976"/>
      </w:tblGrid>
      <w:tr w:rsidR="00AF026E" w14:paraId="49B2F46A" w14:textId="77777777">
        <w:trPr>
          <w:jc w:val="center"/>
        </w:trPr>
        <w:tc>
          <w:tcPr>
            <w:tcW w:w="1555" w:type="dxa"/>
          </w:tcPr>
          <w:p w14:paraId="26873754"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期数</w:t>
            </w:r>
          </w:p>
        </w:tc>
        <w:tc>
          <w:tcPr>
            <w:tcW w:w="3402" w:type="dxa"/>
          </w:tcPr>
          <w:p w14:paraId="2C6256AD"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培训时间</w:t>
            </w:r>
          </w:p>
        </w:tc>
        <w:tc>
          <w:tcPr>
            <w:tcW w:w="1701" w:type="dxa"/>
          </w:tcPr>
          <w:p w14:paraId="53A3F76C"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报到时间</w:t>
            </w:r>
          </w:p>
        </w:tc>
        <w:tc>
          <w:tcPr>
            <w:tcW w:w="2976" w:type="dxa"/>
          </w:tcPr>
          <w:p w14:paraId="5457DC80"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培训地点</w:t>
            </w:r>
          </w:p>
        </w:tc>
      </w:tr>
      <w:tr w:rsidR="00AF026E" w14:paraId="528D243C" w14:textId="77777777">
        <w:trPr>
          <w:jc w:val="center"/>
        </w:trPr>
        <w:tc>
          <w:tcPr>
            <w:tcW w:w="1555" w:type="dxa"/>
          </w:tcPr>
          <w:p w14:paraId="71575F25"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第一期</w:t>
            </w:r>
          </w:p>
        </w:tc>
        <w:tc>
          <w:tcPr>
            <w:tcW w:w="3402" w:type="dxa"/>
          </w:tcPr>
          <w:p w14:paraId="3FEA0A13"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3月21-23日</w:t>
            </w:r>
          </w:p>
        </w:tc>
        <w:tc>
          <w:tcPr>
            <w:tcW w:w="1701" w:type="dxa"/>
          </w:tcPr>
          <w:p w14:paraId="109149A8"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20日</w:t>
            </w:r>
          </w:p>
        </w:tc>
        <w:tc>
          <w:tcPr>
            <w:tcW w:w="2976" w:type="dxa"/>
          </w:tcPr>
          <w:p w14:paraId="30C361D6"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重庆</w:t>
            </w:r>
          </w:p>
        </w:tc>
      </w:tr>
      <w:tr w:rsidR="00AF026E" w14:paraId="76F2CA5F" w14:textId="77777777">
        <w:trPr>
          <w:jc w:val="center"/>
        </w:trPr>
        <w:tc>
          <w:tcPr>
            <w:tcW w:w="1555" w:type="dxa"/>
          </w:tcPr>
          <w:p w14:paraId="0BB3F54E"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第二期</w:t>
            </w:r>
          </w:p>
        </w:tc>
        <w:tc>
          <w:tcPr>
            <w:tcW w:w="3402" w:type="dxa"/>
          </w:tcPr>
          <w:p w14:paraId="11D66D35"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10月24-26日</w:t>
            </w:r>
          </w:p>
        </w:tc>
        <w:tc>
          <w:tcPr>
            <w:tcW w:w="1701" w:type="dxa"/>
          </w:tcPr>
          <w:p w14:paraId="6A2842BF"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23日</w:t>
            </w:r>
          </w:p>
        </w:tc>
        <w:tc>
          <w:tcPr>
            <w:tcW w:w="2976" w:type="dxa"/>
          </w:tcPr>
          <w:p w14:paraId="259597F1" w14:textId="77777777" w:rsidR="00AF026E" w:rsidRDefault="00000000">
            <w:pPr>
              <w:spacing w:line="360" w:lineRule="auto"/>
              <w:jc w:val="center"/>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成都</w:t>
            </w:r>
          </w:p>
        </w:tc>
      </w:tr>
    </w:tbl>
    <w:p w14:paraId="5B4A85D6" w14:textId="77777777" w:rsidR="00AF026E" w:rsidRDefault="00000000">
      <w:pPr>
        <w:numPr>
          <w:ilvl w:val="0"/>
          <w:numId w:val="1"/>
        </w:numPr>
        <w:spacing w:line="360" w:lineRule="auto"/>
        <w:rPr>
          <w:rFonts w:ascii="仿宋_GB2312" w:eastAsia="仿宋_GB2312" w:hAnsi="宋体" w:hint="eastAsia"/>
          <w:b/>
          <w:color w:val="000000"/>
          <w:sz w:val="32"/>
          <w:szCs w:val="32"/>
        </w:rPr>
      </w:pPr>
      <w:r>
        <w:rPr>
          <w:rFonts w:ascii="仿宋_GB2312" w:eastAsia="仿宋_GB2312" w:hAnsi="宋体" w:hint="eastAsia"/>
          <w:b/>
          <w:color w:val="000000"/>
          <w:sz w:val="32"/>
          <w:szCs w:val="32"/>
        </w:rPr>
        <w:t>培训对象</w:t>
      </w:r>
    </w:p>
    <w:p w14:paraId="54FD4F2A" w14:textId="77777777" w:rsidR="00AF026E" w:rsidRDefault="00000000">
      <w:pPr>
        <w:pStyle w:val="p1"/>
        <w:widowControl/>
        <w:rPr>
          <w:rFonts w:ascii="仿宋_GB2312" w:eastAsia="仿宋_GB2312" w:hAnsi="宋体" w:hint="eastAsia"/>
          <w:kern w:val="2"/>
        </w:rPr>
      </w:pPr>
      <w:r>
        <w:rPr>
          <w:rFonts w:ascii="仿宋_GB2312" w:eastAsia="仿宋_GB2312" w:hAnsi="宋体" w:hint="eastAsia"/>
          <w:kern w:val="2"/>
        </w:rPr>
        <w:t>企业高管以及相关财税负责人与业务骨干</w:t>
      </w:r>
    </w:p>
    <w:p w14:paraId="14D2D1BB" w14:textId="77777777" w:rsidR="00AF026E" w:rsidRDefault="00000000">
      <w:pPr>
        <w:spacing w:line="360" w:lineRule="auto"/>
        <w:rPr>
          <w:rFonts w:ascii="仿宋_GB2312" w:eastAsia="仿宋_GB2312" w:hAnsi="宋体" w:hint="eastAsia"/>
          <w:b/>
          <w:color w:val="000000"/>
          <w:sz w:val="32"/>
          <w:szCs w:val="32"/>
        </w:rPr>
      </w:pPr>
      <w:r>
        <w:rPr>
          <w:rFonts w:ascii="仿宋_GB2312" w:eastAsia="仿宋_GB2312" w:hAnsi="宋体" w:hint="eastAsia"/>
          <w:b/>
          <w:color w:val="000000"/>
          <w:sz w:val="32"/>
          <w:szCs w:val="32"/>
        </w:rPr>
        <w:t>三、课程收益</w:t>
      </w:r>
    </w:p>
    <w:p w14:paraId="733084CB" w14:textId="6FF712E6" w:rsidR="00AF026E" w:rsidRDefault="00000000">
      <w:pPr>
        <w:pStyle w:val="p1"/>
        <w:widowControl/>
        <w:rPr>
          <w:rFonts w:ascii="仿宋_GB2312" w:eastAsia="仿宋_GB2312" w:hAnsi="宋体" w:hint="eastAsia"/>
          <w:kern w:val="2"/>
        </w:rPr>
      </w:pPr>
      <w:r>
        <w:rPr>
          <w:rFonts w:ascii="仿宋_GB2312" w:eastAsia="仿宋_GB2312" w:hAnsi="宋体" w:hint="eastAsia"/>
          <w:kern w:val="2"/>
        </w:rPr>
        <w:t>1.深入剖析金税四期智慧税务形势下的涉税风险，避免认知误区，确保企业财税安全;</w:t>
      </w:r>
    </w:p>
    <w:p w14:paraId="27635ADB" w14:textId="77777777" w:rsidR="00AF026E" w:rsidRDefault="00000000">
      <w:pPr>
        <w:pStyle w:val="p1"/>
        <w:widowControl/>
        <w:rPr>
          <w:rFonts w:ascii="仿宋_GB2312" w:eastAsia="仿宋_GB2312" w:hAnsi="宋体" w:hint="eastAsia"/>
          <w:kern w:val="2"/>
        </w:rPr>
      </w:pPr>
      <w:r>
        <w:rPr>
          <w:rFonts w:ascii="仿宋_GB2312" w:eastAsia="仿宋_GB2312" w:hAnsi="宋体" w:hint="eastAsia"/>
          <w:kern w:val="2"/>
        </w:rPr>
        <w:t>2.层层剖析经典案例，深度了解税务稽查，掌握应对风险技巧;</w:t>
      </w:r>
    </w:p>
    <w:p w14:paraId="29A147D2" w14:textId="77777777" w:rsidR="00AF026E" w:rsidRDefault="00000000">
      <w:pPr>
        <w:pStyle w:val="p1"/>
        <w:widowControl/>
        <w:rPr>
          <w:rFonts w:ascii="仿宋_GB2312" w:eastAsia="仿宋_GB2312" w:hAnsi="宋体" w:hint="eastAsia"/>
          <w:kern w:val="2"/>
        </w:rPr>
      </w:pPr>
      <w:r>
        <w:rPr>
          <w:rFonts w:ascii="仿宋_GB2312" w:eastAsia="仿宋_GB2312" w:hAnsi="宋体" w:hint="eastAsia"/>
          <w:kern w:val="2"/>
        </w:rPr>
        <w:t>3.全面了解监管流程，从容应对税务危机，缓解企业经营压力，助力行业健康发展</w:t>
      </w:r>
    </w:p>
    <w:p w14:paraId="2B4D08F9" w14:textId="77777777" w:rsidR="00AF026E" w:rsidRDefault="00000000">
      <w:pPr>
        <w:spacing w:line="360" w:lineRule="auto"/>
        <w:rPr>
          <w:rFonts w:ascii="仿宋_GB2312" w:eastAsia="仿宋_GB2312" w:hAnsi="仿宋_GB2312" w:cs="仿宋_GB2312" w:hint="eastAsia"/>
          <w:b/>
          <w:bCs/>
          <w:color w:val="000000"/>
          <w:sz w:val="32"/>
          <w:szCs w:val="32"/>
        </w:rPr>
      </w:pPr>
      <w:r>
        <w:rPr>
          <w:rFonts w:ascii="仿宋_GB2312" w:eastAsia="仿宋_GB2312" w:hAnsi="宋体" w:hint="eastAsia"/>
          <w:b/>
          <w:color w:val="000000"/>
          <w:sz w:val="32"/>
          <w:szCs w:val="32"/>
        </w:rPr>
        <w:t>四、课程内容</w:t>
      </w:r>
    </w:p>
    <w:p w14:paraId="455E0F73" w14:textId="77777777" w:rsidR="00AF026E" w:rsidRDefault="00000000">
      <w:pPr>
        <w:tabs>
          <w:tab w:val="left" w:pos="900"/>
        </w:tabs>
        <w:spacing w:line="360" w:lineRule="auto"/>
        <w:ind w:firstLine="1"/>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（一）税费政策、税收征管与风险防范</w:t>
      </w:r>
    </w:p>
    <w:p w14:paraId="44838432" w14:textId="749CED73" w:rsidR="00AF026E" w:rsidRDefault="00000000">
      <w:pPr>
        <w:tabs>
          <w:tab w:val="left" w:pos="900"/>
        </w:tabs>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1. </w:t>
      </w:r>
      <w:r w:rsidR="009135FB">
        <w:rPr>
          <w:rFonts w:ascii="仿宋_GB2312" w:eastAsia="仿宋_GB2312" w:hAnsi="仿宋_GB2312" w:cs="仿宋_GB2312" w:hint="eastAsia"/>
          <w:color w:val="000000"/>
          <w:sz w:val="32"/>
          <w:szCs w:val="32"/>
        </w:rPr>
        <w:t>2025</w:t>
      </w:r>
      <w:r>
        <w:rPr>
          <w:rFonts w:ascii="仿宋_GB2312" w:eastAsia="仿宋_GB2312" w:hAnsi="仿宋_GB2312" w:cs="仿宋_GB2312" w:hint="eastAsia"/>
          <w:color w:val="000000"/>
          <w:sz w:val="32"/>
          <w:szCs w:val="32"/>
        </w:rPr>
        <w:t>年宏观经济形势与税费政策要求</w:t>
      </w:r>
    </w:p>
    <w:p w14:paraId="04734EB4" w14:textId="434E4432" w:rsidR="00AF026E" w:rsidRDefault="00000000">
      <w:pPr>
        <w:tabs>
          <w:tab w:val="left" w:pos="900"/>
        </w:tabs>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 xml:space="preserve">2. </w:t>
      </w:r>
      <w:r w:rsidR="009135FB">
        <w:rPr>
          <w:rFonts w:ascii="仿宋_GB2312" w:eastAsia="仿宋_GB2312" w:hAnsi="仿宋_GB2312" w:cs="仿宋_GB2312" w:hint="eastAsia"/>
          <w:color w:val="000000"/>
          <w:sz w:val="32"/>
          <w:szCs w:val="32"/>
        </w:rPr>
        <w:t>《增值税法》与2025</w:t>
      </w:r>
      <w:r>
        <w:rPr>
          <w:rFonts w:ascii="仿宋_GB2312" w:eastAsia="仿宋_GB2312" w:hAnsi="仿宋_GB2312" w:cs="仿宋_GB2312" w:hint="eastAsia"/>
          <w:color w:val="000000"/>
          <w:sz w:val="32"/>
          <w:szCs w:val="32"/>
        </w:rPr>
        <w:t>年最新减税降费政策，合</w:t>
      </w:r>
      <w:proofErr w:type="gramStart"/>
      <w:r>
        <w:rPr>
          <w:rFonts w:ascii="仿宋_GB2312" w:eastAsia="仿宋_GB2312" w:hAnsi="仿宋_GB2312" w:cs="仿宋_GB2312" w:hint="eastAsia"/>
          <w:color w:val="000000"/>
          <w:sz w:val="32"/>
          <w:szCs w:val="32"/>
        </w:rPr>
        <w:t>规</w:t>
      </w:r>
      <w:proofErr w:type="gramEnd"/>
      <w:r>
        <w:rPr>
          <w:rFonts w:ascii="仿宋_GB2312" w:eastAsia="仿宋_GB2312" w:hAnsi="仿宋_GB2312" w:cs="仿宋_GB2312" w:hint="eastAsia"/>
          <w:color w:val="000000"/>
          <w:sz w:val="32"/>
          <w:szCs w:val="32"/>
        </w:rPr>
        <w:t>享受</w:t>
      </w:r>
    </w:p>
    <w:p w14:paraId="569F0F61" w14:textId="77777777" w:rsidR="00AF026E" w:rsidRDefault="00000000">
      <w:pPr>
        <w:tabs>
          <w:tab w:val="left" w:pos="900"/>
        </w:tabs>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 加强征管的典型案例，风险防范</w:t>
      </w:r>
    </w:p>
    <w:p w14:paraId="2F1DDAB9" w14:textId="77777777" w:rsidR="00AF026E" w:rsidRDefault="00000000">
      <w:pPr>
        <w:tabs>
          <w:tab w:val="left" w:pos="900"/>
        </w:tabs>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 金税四期智慧税务的内容与影响</w:t>
      </w:r>
    </w:p>
    <w:p w14:paraId="275CC6EC" w14:textId="77777777" w:rsidR="00AF026E" w:rsidRDefault="00000000">
      <w:pPr>
        <w:tabs>
          <w:tab w:val="left" w:pos="900"/>
        </w:tabs>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 “两高”《关于办理危害税收征管刑事案件适用法律若干问题的解释》要点解读</w:t>
      </w:r>
    </w:p>
    <w:p w14:paraId="3FF97690" w14:textId="72E88A29" w:rsidR="00AF026E" w:rsidRDefault="009135FB">
      <w:pPr>
        <w:tabs>
          <w:tab w:val="left" w:pos="900"/>
        </w:tabs>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6</w:t>
      </w:r>
      <w:r w:rsidR="00000000">
        <w:rPr>
          <w:rFonts w:ascii="仿宋_GB2312" w:eastAsia="仿宋_GB2312" w:hAnsi="仿宋_GB2312" w:cs="仿宋_GB2312" w:hint="eastAsia"/>
          <w:color w:val="000000"/>
          <w:sz w:val="32"/>
          <w:szCs w:val="32"/>
        </w:rPr>
        <w:t>. “二十届三中全会”税制改革</w:t>
      </w:r>
      <w:r>
        <w:rPr>
          <w:rFonts w:ascii="仿宋_GB2312" w:eastAsia="仿宋_GB2312" w:hAnsi="仿宋_GB2312" w:cs="仿宋_GB2312" w:hint="eastAsia"/>
          <w:color w:val="000000"/>
          <w:sz w:val="32"/>
          <w:szCs w:val="32"/>
        </w:rPr>
        <w:t>趋势</w:t>
      </w:r>
      <w:r w:rsidR="00000000">
        <w:rPr>
          <w:rFonts w:ascii="仿宋_GB2312" w:eastAsia="仿宋_GB2312" w:hAnsi="仿宋_GB2312" w:cs="仿宋_GB2312" w:hint="eastAsia"/>
          <w:color w:val="000000"/>
          <w:sz w:val="32"/>
          <w:szCs w:val="32"/>
        </w:rPr>
        <w:t>与应对</w:t>
      </w:r>
    </w:p>
    <w:p w14:paraId="604649E7" w14:textId="77777777" w:rsidR="00AF026E" w:rsidRDefault="00000000">
      <w:pPr>
        <w:tabs>
          <w:tab w:val="left" w:pos="900"/>
        </w:tabs>
        <w:spacing w:line="360" w:lineRule="auto"/>
        <w:ind w:firstLine="1"/>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（二）知己知彼，揭开稽查神秘面纱</w:t>
      </w:r>
    </w:p>
    <w:p w14:paraId="038E09B9" w14:textId="77777777" w:rsidR="00AF026E" w:rsidRDefault="00000000">
      <w:pPr>
        <w:tabs>
          <w:tab w:val="left" w:pos="900"/>
        </w:tabs>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1.实例剖析：税务约谈、纳税评估、税务稽查</w:t>
      </w:r>
    </w:p>
    <w:p w14:paraId="7B17B9C6" w14:textId="77777777" w:rsidR="00AF026E" w:rsidRDefault="00000000">
      <w:pPr>
        <w:tabs>
          <w:tab w:val="left" w:pos="900"/>
        </w:tabs>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2.税务稽查的流程和方法</w:t>
      </w:r>
    </w:p>
    <w:p w14:paraId="583ECA47" w14:textId="77777777" w:rsidR="00AF026E" w:rsidRDefault="00000000">
      <w:pPr>
        <w:tabs>
          <w:tab w:val="left" w:pos="900"/>
        </w:tabs>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
          <w:bCs/>
          <w:color w:val="000000"/>
          <w:sz w:val="32"/>
          <w:szCs w:val="32"/>
        </w:rPr>
        <w:t>（三）未雨绸缪，涉税风险提前预防</w:t>
      </w:r>
    </w:p>
    <w:p w14:paraId="7BE2EE9D"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1.税务风险的概念和类型</w:t>
      </w:r>
    </w:p>
    <w:p w14:paraId="4BE901A8"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2.定期内部自查案例</w:t>
      </w:r>
    </w:p>
    <w:p w14:paraId="44F1775A"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3.税法政策解读及案例</w:t>
      </w:r>
    </w:p>
    <w:p w14:paraId="7E7C920E"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4.风险指标解读及案例</w:t>
      </w:r>
    </w:p>
    <w:p w14:paraId="0BFC258A"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5.相关员工税务培训</w:t>
      </w:r>
    </w:p>
    <w:p w14:paraId="6338DBBF"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b/>
          <w:bCs/>
          <w:color w:val="000000"/>
          <w:sz w:val="32"/>
          <w:szCs w:val="32"/>
        </w:rPr>
        <w:t>（四）老马识途，面对困境巧借外力</w:t>
      </w:r>
    </w:p>
    <w:p w14:paraId="17532C92"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 稽查现场应对的技巧</w:t>
      </w:r>
    </w:p>
    <w:p w14:paraId="6CE18C04"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税企纠纷的解决</w:t>
      </w:r>
    </w:p>
    <w:p w14:paraId="23C57163"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（1）案例讲解         </w:t>
      </w:r>
    </w:p>
    <w:p w14:paraId="689BA739"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（2）模拟实训</w:t>
      </w:r>
    </w:p>
    <w:p w14:paraId="366B21C1"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（3）实操建议</w:t>
      </w:r>
    </w:p>
    <w:p w14:paraId="46FAC01B" w14:textId="77777777" w:rsidR="00AF026E" w:rsidRDefault="00000000">
      <w:pPr>
        <w:tabs>
          <w:tab w:val="left" w:pos="900"/>
        </w:tabs>
        <w:spacing w:line="360" w:lineRule="auto"/>
        <w:rPr>
          <w:rFonts w:ascii="仿宋_GB2312" w:eastAsia="仿宋_GB2312" w:hAnsi="仿宋_GB2312" w:cs="仿宋_GB2312" w:hint="eastAsia"/>
          <w:b/>
          <w:bCs/>
          <w:sz w:val="32"/>
          <w:szCs w:val="32"/>
        </w:rPr>
      </w:pPr>
      <w:r>
        <w:rPr>
          <w:rFonts w:ascii="仿宋_GB2312" w:eastAsia="仿宋_GB2312" w:hAnsi="仿宋_GB2312" w:cs="仿宋_GB2312" w:hint="eastAsia"/>
          <w:b/>
          <w:bCs/>
          <w:color w:val="000000"/>
          <w:sz w:val="32"/>
          <w:szCs w:val="32"/>
        </w:rPr>
        <w:t>（五）顺势而为，稽查后反思与改进</w:t>
      </w:r>
    </w:p>
    <w:p w14:paraId="1CA8A13B" w14:textId="77777777" w:rsidR="00AF026E"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案例讲解：强化合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管理，有效防范风险</w:t>
      </w:r>
    </w:p>
    <w:p w14:paraId="0C3E0A9C" w14:textId="77777777" w:rsidR="00AF026E"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与合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风险</w:t>
      </w:r>
    </w:p>
    <w:p w14:paraId="4329C2A9" w14:textId="77777777" w:rsidR="00AF026E"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管理重点</w:t>
      </w:r>
    </w:p>
    <w:p w14:paraId="341DABE1"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运行机制</w:t>
      </w:r>
    </w:p>
    <w:p w14:paraId="7157B273" w14:textId="77777777" w:rsidR="00AF026E" w:rsidRDefault="00000000">
      <w:pPr>
        <w:tabs>
          <w:tab w:val="left" w:pos="900"/>
        </w:tabs>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管理保障</w:t>
      </w:r>
    </w:p>
    <w:p w14:paraId="4C65CC34" w14:textId="77777777" w:rsidR="00AF026E" w:rsidRDefault="00000000">
      <w:pPr>
        <w:widowControl/>
        <w:spacing w:line="360" w:lineRule="auto"/>
        <w:jc w:val="left"/>
        <w:rPr>
          <w:rFonts w:ascii="仿宋_GB2312" w:eastAsia="仿宋_GB2312" w:hAnsi="宋体" w:hint="eastAsia"/>
          <w:b/>
          <w:bCs/>
          <w:color w:val="000000"/>
          <w:sz w:val="32"/>
          <w:szCs w:val="32"/>
        </w:rPr>
      </w:pPr>
      <w:r>
        <w:rPr>
          <w:rFonts w:ascii="仿宋_GB2312" w:eastAsia="仿宋_GB2312" w:hAnsi="宋体" w:hint="eastAsia"/>
          <w:b/>
          <w:bCs/>
          <w:color w:val="000000"/>
          <w:sz w:val="32"/>
          <w:szCs w:val="32"/>
        </w:rPr>
        <w:t>五、拟邀师资</w:t>
      </w:r>
    </w:p>
    <w:p w14:paraId="7857CC6A" w14:textId="77777777" w:rsidR="00AF026E" w:rsidRDefault="00000000">
      <w:pPr>
        <w:widowControl/>
        <w:spacing w:line="360" w:lineRule="auto"/>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葛老师（课程主任）：上海国家会计学院副教授，应用经济系主任，曾挂职于财政部条法司，入选第七批全国税务领军人才。</w:t>
      </w:r>
    </w:p>
    <w:p w14:paraId="5B4A036E" w14:textId="77777777" w:rsidR="00AF026E" w:rsidRDefault="00000000">
      <w:pPr>
        <w:widowControl/>
        <w:spacing w:line="360" w:lineRule="auto"/>
        <w:jc w:val="left"/>
        <w:rPr>
          <w:rFonts w:ascii="仿宋_GB2312" w:eastAsia="仿宋_GB2312" w:hAnsi="宋体"/>
          <w:color w:val="000000"/>
          <w:sz w:val="32"/>
          <w:szCs w:val="32"/>
        </w:rPr>
      </w:pPr>
      <w:r>
        <w:rPr>
          <w:rFonts w:ascii="仿宋_GB2312" w:eastAsia="仿宋_GB2312" w:hAnsi="宋体" w:hint="eastAsia"/>
          <w:color w:val="000000"/>
          <w:sz w:val="32"/>
          <w:szCs w:val="32"/>
        </w:rPr>
        <w:t>谭老师：国家税务总局五星税务培训师、全国税务系统总局级师资、总局稽查人才库成员，总局特约通讯员。</w:t>
      </w:r>
    </w:p>
    <w:p w14:paraId="3E4981B6" w14:textId="398F44A6" w:rsidR="00971E63" w:rsidRDefault="00971E63">
      <w:pPr>
        <w:widowControl/>
        <w:spacing w:line="360" w:lineRule="auto"/>
        <w:jc w:val="left"/>
        <w:rPr>
          <w:rFonts w:ascii="仿宋_GB2312" w:eastAsia="仿宋_GB2312" w:hAnsi="宋体" w:hint="eastAsia"/>
          <w:color w:val="000000"/>
          <w:sz w:val="32"/>
          <w:szCs w:val="32"/>
        </w:rPr>
      </w:pPr>
      <w:r>
        <w:rPr>
          <w:rFonts w:ascii="仿宋_GB2312" w:eastAsia="仿宋_GB2312" w:hAnsi="宋体" w:hint="eastAsia"/>
          <w:color w:val="000000"/>
          <w:sz w:val="32"/>
          <w:szCs w:val="32"/>
        </w:rPr>
        <w:t>以及其他资深实务专家。</w:t>
      </w:r>
    </w:p>
    <w:p w14:paraId="417275CB" w14:textId="77777777" w:rsidR="00AF026E" w:rsidRDefault="00000000">
      <w:pPr>
        <w:pStyle w:val="af8"/>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六、学员评价</w:t>
      </w:r>
    </w:p>
    <w:p w14:paraId="5F1DB6A0" w14:textId="77777777" w:rsidR="00AF026E" w:rsidRDefault="00000000">
      <w:pPr>
        <w:pStyle w:val="af8"/>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整体培训感受很棒，从某个行业的案例出发，把整个稽查的思路都讲清楚了，对于自己来说很有参考价值。</w:t>
      </w:r>
    </w:p>
    <w:p w14:paraId="11F3F5B7" w14:textId="19F33134" w:rsidR="00AF026E" w:rsidRDefault="00000000">
      <w:pPr>
        <w:pStyle w:val="af8"/>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——孙同学 某</w:t>
      </w:r>
      <w:r w:rsidR="0044789C">
        <w:rPr>
          <w:rFonts w:ascii="仿宋_GB2312" w:eastAsia="仿宋_GB2312" w:hAnsi="仿宋_GB2312" w:cs="仿宋_GB2312" w:hint="eastAsia"/>
          <w:sz w:val="32"/>
          <w:szCs w:val="32"/>
        </w:rPr>
        <w:t>上市公司高级财务经理</w:t>
      </w:r>
    </w:p>
    <w:p w14:paraId="57261BEF" w14:textId="77777777" w:rsidR="00AF026E" w:rsidRDefault="00000000">
      <w:pPr>
        <w:pStyle w:val="af8"/>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有效的帮助我深入解析税务稽查的流程和风险，包括稽查的触发因素、实施流程、实操中面临的问题，掌握科学、有效的应对策略，以后企业在面对税务稽查时，能够应对自如，确保合法合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、减少涉税风险</w:t>
      </w:r>
    </w:p>
    <w:p w14:paraId="6C0A9157" w14:textId="77777777" w:rsidR="00AF026E" w:rsidRDefault="00000000">
      <w:pPr>
        <w:pStyle w:val="af8"/>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——胡同学 某信息科技有限公司税务</w:t>
      </w:r>
    </w:p>
    <w:p w14:paraId="6C76978F" w14:textId="77777777" w:rsidR="00AF026E" w:rsidRDefault="00000000">
      <w:pPr>
        <w:spacing w:line="360" w:lineRule="auto"/>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七、收费标准</w:t>
      </w:r>
    </w:p>
    <w:p w14:paraId="1CA14AF4" w14:textId="77777777" w:rsidR="00AF026E" w:rsidRDefault="00000000">
      <w:pPr>
        <w:spacing w:line="360" w:lineRule="auto"/>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1.培训费：6000元/人；</w:t>
      </w:r>
    </w:p>
    <w:p w14:paraId="72C52BCF" w14:textId="77777777" w:rsidR="00AF026E"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2.食宿统一安排，费用自理，具体标准以开课通知为准。</w:t>
      </w:r>
    </w:p>
    <w:p w14:paraId="112E94BF" w14:textId="77777777" w:rsidR="00AF026E"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3.费用支付方式：培训费由上海国家会计学院收取，支付宝/</w:t>
      </w:r>
      <w:proofErr w:type="gramStart"/>
      <w:r>
        <w:rPr>
          <w:rFonts w:ascii="仿宋_GB2312" w:eastAsia="仿宋_GB2312" w:hAnsi="仿宋_GB2312" w:cs="仿宋_GB2312" w:hint="eastAsia"/>
          <w:sz w:val="32"/>
          <w:szCs w:val="32"/>
        </w:rPr>
        <w:t>微信扫码</w:t>
      </w:r>
      <w:proofErr w:type="gramEnd"/>
      <w:r>
        <w:rPr>
          <w:rFonts w:ascii="仿宋_GB2312" w:eastAsia="仿宋_GB2312" w:hAnsi="仿宋_GB2312" w:cs="仿宋_GB2312" w:hint="eastAsia"/>
          <w:sz w:val="32"/>
          <w:szCs w:val="32"/>
        </w:rPr>
        <w:t>、汇款。食宿费由酒店收取，现场支付。</w:t>
      </w:r>
    </w:p>
    <w:p w14:paraId="430D1045" w14:textId="77777777" w:rsidR="00AF026E"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4.关于发票：培训费发票由学院提供；食宿发票由酒店提供。</w:t>
      </w:r>
    </w:p>
    <w:p w14:paraId="6735F956" w14:textId="77777777" w:rsidR="00AF026E" w:rsidRDefault="00000000">
      <w:pPr>
        <w:widowControl/>
        <w:spacing w:line="360" w:lineRule="auto"/>
        <w:jc w:val="left"/>
        <w:rPr>
          <w:rFonts w:ascii="仿宋_GB2312" w:eastAsia="仿宋_GB2312" w:hAnsi="仿宋_GB2312" w:cs="仿宋_GB2312" w:hint="eastAsia"/>
          <w:b/>
          <w:color w:val="000000"/>
          <w:sz w:val="32"/>
          <w:szCs w:val="32"/>
        </w:rPr>
      </w:pPr>
      <w:r>
        <w:rPr>
          <w:rFonts w:ascii="仿宋_GB2312" w:eastAsia="仿宋_GB2312" w:hAnsi="仿宋_GB2312" w:cs="仿宋_GB2312" w:hint="eastAsia"/>
          <w:b/>
          <w:color w:val="000000"/>
          <w:sz w:val="32"/>
          <w:szCs w:val="32"/>
        </w:rPr>
        <w:t>八、结业证书</w:t>
      </w:r>
    </w:p>
    <w:p w14:paraId="1CAB4304" w14:textId="77777777" w:rsidR="00AF026E" w:rsidRDefault="00000000">
      <w:pPr>
        <w:widowControl/>
        <w:spacing w:line="360" w:lineRule="auto"/>
        <w:ind w:left="320"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培训班结束后由学院颁发结业证书，并注明学时。继续教育</w:t>
      </w:r>
    </w:p>
    <w:p w14:paraId="7136C412" w14:textId="77777777" w:rsidR="00AF026E" w:rsidRDefault="00000000">
      <w:pPr>
        <w:widowControl/>
        <w:spacing w:line="360" w:lineRule="auto"/>
        <w:ind w:left="320"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学时认定事宜，烦请学员咨询当地主管部门。</w:t>
      </w:r>
    </w:p>
    <w:p w14:paraId="5D0CDBA7" w14:textId="77777777" w:rsidR="00AF026E" w:rsidRDefault="00000000">
      <w:pPr>
        <w:widowControl/>
        <w:spacing w:line="360" w:lineRule="auto"/>
        <w:ind w:left="321" w:hangingChars="100" w:hanging="321"/>
        <w:jc w:val="left"/>
        <w:rPr>
          <w:rFonts w:ascii="仿宋_GB2312" w:eastAsia="仿宋_GB2312" w:hAnsi="仿宋_GB2312" w:cs="仿宋_GB2312" w:hint="eastAsia"/>
          <w:b/>
          <w:bCs/>
          <w:color w:val="000000"/>
          <w:sz w:val="32"/>
          <w:szCs w:val="32"/>
        </w:rPr>
      </w:pPr>
      <w:r>
        <w:rPr>
          <w:rFonts w:ascii="仿宋_GB2312" w:eastAsia="仿宋_GB2312" w:hAnsi="仿宋_GB2312" w:cs="仿宋_GB2312" w:hint="eastAsia"/>
          <w:b/>
          <w:bCs/>
          <w:color w:val="000000"/>
          <w:sz w:val="32"/>
          <w:szCs w:val="32"/>
        </w:rPr>
        <w:t>九、报名咨询</w:t>
      </w:r>
    </w:p>
    <w:p w14:paraId="51536BE9" w14:textId="77777777" w:rsidR="00AF026E"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请参加人员填写《报名表》（附后），我们将在开课前一周向报名学员发送《开课通知》。</w:t>
      </w:r>
    </w:p>
    <w:p w14:paraId="085FA61C" w14:textId="77777777" w:rsidR="00AF026E"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联系人：黄老师18610843353（</w:t>
      </w:r>
      <w:proofErr w:type="gramStart"/>
      <w:r>
        <w:rPr>
          <w:rFonts w:ascii="仿宋_GB2312" w:eastAsia="仿宋_GB2312" w:hAnsi="仿宋_GB2312" w:cs="仿宋_GB2312" w:hint="eastAsia"/>
          <w:sz w:val="32"/>
          <w:szCs w:val="32"/>
        </w:rPr>
        <w:t>同微信</w:t>
      </w:r>
      <w:proofErr w:type="gramEnd"/>
      <w:r>
        <w:rPr>
          <w:rFonts w:ascii="仿宋_GB2312" w:eastAsia="仿宋_GB2312" w:hAnsi="仿宋_GB2312" w:cs="仿宋_GB2312" w:hint="eastAsia"/>
          <w:sz w:val="32"/>
          <w:szCs w:val="32"/>
        </w:rPr>
        <w:t>）</w:t>
      </w:r>
    </w:p>
    <w:p w14:paraId="58743931" w14:textId="77777777" w:rsidR="00AF026E" w:rsidRDefault="00000000">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邮箱：284828890@qq.com</w:t>
      </w:r>
    </w:p>
    <w:p w14:paraId="7DC2EF67" w14:textId="77777777" w:rsidR="00AF026E" w:rsidRDefault="00AF026E">
      <w:pPr>
        <w:tabs>
          <w:tab w:val="left" w:pos="360"/>
          <w:tab w:val="left" w:pos="540"/>
        </w:tabs>
        <w:spacing w:line="400" w:lineRule="exact"/>
        <w:rPr>
          <w:rFonts w:ascii="宋体" w:hAnsi="宋体" w:cs="宋体" w:hint="eastAsia"/>
          <w:b/>
          <w:bCs/>
          <w:color w:val="000000" w:themeColor="text1"/>
          <w:sz w:val="24"/>
          <w:szCs w:val="24"/>
        </w:rPr>
      </w:pPr>
    </w:p>
    <w:p w14:paraId="3A67441F" w14:textId="77777777" w:rsidR="00AF026E" w:rsidRDefault="00000000">
      <w:pPr>
        <w:widowControl/>
        <w:tabs>
          <w:tab w:val="center" w:pos="4766"/>
          <w:tab w:val="left" w:pos="6716"/>
        </w:tabs>
        <w:spacing w:line="360" w:lineRule="auto"/>
        <w:rPr>
          <w:rFonts w:ascii="宋体" w:hAnsi="宋体" w:cs="微软雅黑" w:hint="eastAsia"/>
          <w:b/>
          <w:bCs/>
          <w:color w:val="000000" w:themeColor="text1"/>
          <w:sz w:val="36"/>
          <w:szCs w:val="36"/>
        </w:rPr>
      </w:pPr>
      <w:r>
        <w:rPr>
          <w:rFonts w:ascii="宋体" w:hAnsi="宋体" w:cs="微软雅黑" w:hint="eastAsia"/>
          <w:b/>
          <w:bCs/>
          <w:color w:val="000000" w:themeColor="text1"/>
          <w:sz w:val="36"/>
          <w:szCs w:val="36"/>
        </w:rPr>
        <w:t>附件二：</w:t>
      </w:r>
    </w:p>
    <w:p w14:paraId="26AD1CED" w14:textId="77777777" w:rsidR="00AF026E" w:rsidRDefault="00000000">
      <w:pPr>
        <w:widowControl/>
        <w:tabs>
          <w:tab w:val="center" w:pos="4766"/>
          <w:tab w:val="left" w:pos="6716"/>
        </w:tabs>
        <w:spacing w:line="360" w:lineRule="auto"/>
        <w:jc w:val="center"/>
        <w:rPr>
          <w:rFonts w:ascii="宋体" w:hAnsi="宋体" w:cs="微软雅黑" w:hint="eastAsia"/>
          <w:b/>
          <w:bCs/>
          <w:color w:val="000000" w:themeColor="text1"/>
          <w:sz w:val="32"/>
          <w:szCs w:val="32"/>
        </w:rPr>
      </w:pPr>
      <w:r>
        <w:rPr>
          <w:rFonts w:ascii="宋体" w:hAnsi="宋体" w:cs="微软雅黑" w:hint="eastAsia"/>
          <w:b/>
          <w:bCs/>
          <w:color w:val="000000" w:themeColor="text1"/>
          <w:sz w:val="32"/>
          <w:szCs w:val="32"/>
        </w:rPr>
        <w:t>上海国家会计学院</w:t>
      </w:r>
    </w:p>
    <w:p w14:paraId="5A3B6465" w14:textId="77777777" w:rsidR="00AF026E" w:rsidRDefault="00000000">
      <w:pPr>
        <w:widowControl/>
        <w:tabs>
          <w:tab w:val="center" w:pos="4766"/>
          <w:tab w:val="left" w:pos="6716"/>
        </w:tabs>
        <w:spacing w:line="360" w:lineRule="auto"/>
        <w:jc w:val="center"/>
        <w:rPr>
          <w:rFonts w:ascii="宋体" w:hAnsi="宋体" w:cs="微软雅黑" w:hint="eastAsia"/>
          <w:b/>
          <w:bCs/>
          <w:color w:val="000000" w:themeColor="text1"/>
          <w:sz w:val="32"/>
          <w:szCs w:val="32"/>
        </w:rPr>
      </w:pPr>
      <w:r>
        <w:rPr>
          <w:rFonts w:ascii="宋体" w:hAnsi="宋体" w:cs="微软雅黑" w:hint="eastAsia"/>
          <w:b/>
          <w:bCs/>
          <w:color w:val="000000" w:themeColor="text1"/>
          <w:sz w:val="32"/>
          <w:szCs w:val="32"/>
        </w:rPr>
        <w:t>“新型监管机制下的企业税务稽查与风险应对”</w:t>
      </w:r>
    </w:p>
    <w:p w14:paraId="33876EA7" w14:textId="77777777" w:rsidR="00AF026E" w:rsidRDefault="00000000">
      <w:pPr>
        <w:widowControl/>
        <w:tabs>
          <w:tab w:val="center" w:pos="4766"/>
          <w:tab w:val="left" w:pos="6716"/>
        </w:tabs>
        <w:spacing w:line="360" w:lineRule="auto"/>
        <w:jc w:val="center"/>
        <w:rPr>
          <w:rFonts w:ascii="仿宋_GB2312" w:eastAsia="仿宋_GB2312" w:hAnsi="宋体" w:cs="宋体" w:hint="eastAsia"/>
          <w:b/>
          <w:bCs/>
          <w:color w:val="000000"/>
          <w:kern w:val="0"/>
          <w:sz w:val="30"/>
          <w:szCs w:val="30"/>
        </w:rPr>
      </w:pPr>
      <w:r>
        <w:rPr>
          <w:rFonts w:ascii="宋体" w:hAnsi="宋体" w:cs="微软雅黑" w:hint="eastAsia"/>
          <w:b/>
          <w:bCs/>
          <w:color w:val="000000" w:themeColor="text1"/>
          <w:sz w:val="32"/>
          <w:szCs w:val="32"/>
        </w:rPr>
        <w:t>报名表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554"/>
        <w:gridCol w:w="767"/>
        <w:gridCol w:w="368"/>
        <w:gridCol w:w="699"/>
        <w:gridCol w:w="1102"/>
        <w:gridCol w:w="467"/>
        <w:gridCol w:w="1275"/>
        <w:gridCol w:w="606"/>
        <w:gridCol w:w="670"/>
        <w:gridCol w:w="1789"/>
      </w:tblGrid>
      <w:tr w:rsidR="00AF026E" w14:paraId="5410DD57" w14:textId="77777777">
        <w:trPr>
          <w:trHeight w:val="644"/>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CCF16" w14:textId="77777777" w:rsidR="00AF026E" w:rsidRDefault="00000000">
            <w:pPr>
              <w:autoSpaceDN w:val="0"/>
              <w:spacing w:before="156" w:after="156"/>
              <w:jc w:val="center"/>
              <w:rPr>
                <w:rFonts w:ascii="宋体" w:hAnsi="宋体" w:hint="eastAsia"/>
                <w:color w:val="000000"/>
                <w:szCs w:val="21"/>
              </w:rPr>
            </w:pPr>
            <w:r>
              <w:rPr>
                <w:rFonts w:ascii="宋体" w:hAnsi="宋体" w:hint="eastAsia"/>
                <w:b/>
                <w:color w:val="000000"/>
                <w:szCs w:val="21"/>
              </w:rPr>
              <w:t>单位名称</w:t>
            </w:r>
          </w:p>
        </w:tc>
        <w:tc>
          <w:tcPr>
            <w:tcW w:w="46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9177B4" w14:textId="77777777" w:rsidR="00AF026E" w:rsidRDefault="00AF026E">
            <w:pPr>
              <w:wordWrap w:val="0"/>
              <w:autoSpaceDN w:val="0"/>
              <w:ind w:right="960"/>
              <w:rPr>
                <w:rFonts w:ascii="宋体" w:hAnsi="宋体" w:hint="eastAsia"/>
                <w:color w:val="00000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CA9FFD7" w14:textId="77777777" w:rsidR="00AF026E" w:rsidRDefault="00000000">
            <w:pPr>
              <w:wordWrap w:val="0"/>
              <w:autoSpaceDN w:val="0"/>
              <w:ind w:right="211"/>
              <w:jc w:val="right"/>
              <w:rPr>
                <w:rFonts w:ascii="宋体" w:hAnsi="宋体" w:hint="eastAsia"/>
                <w:color w:val="000000"/>
                <w:szCs w:val="21"/>
              </w:rPr>
            </w:pPr>
            <w:r>
              <w:rPr>
                <w:rFonts w:ascii="宋体" w:hAnsi="宋体" w:hint="eastAsia"/>
                <w:b/>
                <w:color w:val="000000"/>
                <w:szCs w:val="21"/>
              </w:rPr>
              <w:t>单位所在地</w:t>
            </w:r>
          </w:p>
        </w:tc>
        <w:tc>
          <w:tcPr>
            <w:tcW w:w="1789" w:type="dxa"/>
            <w:tcBorders>
              <w:top w:val="single" w:sz="4" w:space="0" w:color="000000"/>
              <w:left w:val="single" w:sz="4" w:space="0" w:color="000000"/>
              <w:bottom w:val="single" w:sz="4" w:space="0" w:color="000000"/>
              <w:right w:val="single" w:sz="4" w:space="0" w:color="000000"/>
            </w:tcBorders>
            <w:vAlign w:val="center"/>
          </w:tcPr>
          <w:p w14:paraId="20C8D7F0" w14:textId="77777777" w:rsidR="00AF026E" w:rsidRDefault="00000000">
            <w:pPr>
              <w:wordWrap w:val="0"/>
              <w:autoSpaceDN w:val="0"/>
              <w:jc w:val="right"/>
              <w:rPr>
                <w:rFonts w:ascii="宋体" w:hAnsi="宋体" w:hint="eastAsia"/>
                <w:color w:val="000000"/>
                <w:szCs w:val="21"/>
              </w:rPr>
            </w:pP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省</w:t>
            </w: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市</w:t>
            </w:r>
          </w:p>
        </w:tc>
      </w:tr>
      <w:tr w:rsidR="00AF026E" w14:paraId="22A94E0E" w14:textId="77777777">
        <w:trPr>
          <w:trHeight w:val="580"/>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83391" w14:textId="77777777" w:rsidR="00AF026E" w:rsidRDefault="00000000">
            <w:pPr>
              <w:tabs>
                <w:tab w:val="left" w:pos="360"/>
                <w:tab w:val="left" w:pos="540"/>
              </w:tabs>
              <w:wordWrap w:val="0"/>
              <w:autoSpaceDN w:val="0"/>
              <w:spacing w:before="156" w:after="156"/>
              <w:jc w:val="center"/>
              <w:rPr>
                <w:rFonts w:ascii="宋体" w:hAnsi="宋体" w:hint="eastAsia"/>
                <w:color w:val="000000"/>
                <w:szCs w:val="21"/>
              </w:rPr>
            </w:pPr>
            <w:r>
              <w:rPr>
                <w:rFonts w:ascii="宋体" w:hAnsi="宋体"/>
                <w:b/>
                <w:color w:val="000000"/>
                <w:szCs w:val="21"/>
              </w:rPr>
              <w:t>联系人</w:t>
            </w:r>
            <w:r>
              <w:rPr>
                <w:rFonts w:ascii="宋体" w:hAnsi="宋体" w:hint="eastAsia"/>
                <w:b/>
                <w:color w:val="000000"/>
                <w:szCs w:val="21"/>
              </w:rPr>
              <w:t>姓名</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EF6CD" w14:textId="77777777" w:rsidR="00AF026E" w:rsidRDefault="00AF026E">
            <w:pPr>
              <w:tabs>
                <w:tab w:val="left" w:pos="360"/>
                <w:tab w:val="left" w:pos="540"/>
              </w:tabs>
              <w:wordWrap w:val="0"/>
              <w:autoSpaceDN w:val="0"/>
              <w:jc w:val="center"/>
              <w:rPr>
                <w:rFonts w:ascii="宋体" w:hAnsi="宋体" w:hint="eastAsia"/>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EE800" w14:textId="77777777" w:rsidR="00AF026E"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手机</w:t>
            </w:r>
          </w:p>
        </w:tc>
        <w:tc>
          <w:tcPr>
            <w:tcW w:w="2844" w:type="dxa"/>
            <w:gridSpan w:val="3"/>
            <w:tcBorders>
              <w:top w:val="single" w:sz="4" w:space="0" w:color="000000"/>
              <w:left w:val="single" w:sz="4" w:space="0" w:color="000000"/>
              <w:bottom w:val="single" w:sz="4" w:space="0" w:color="000000"/>
              <w:right w:val="single" w:sz="4" w:space="0" w:color="000000"/>
            </w:tcBorders>
            <w:vAlign w:val="center"/>
          </w:tcPr>
          <w:p w14:paraId="2A56ED17" w14:textId="77777777" w:rsidR="00AF026E" w:rsidRDefault="00AF026E">
            <w:pPr>
              <w:tabs>
                <w:tab w:val="left" w:pos="360"/>
                <w:tab w:val="left" w:pos="540"/>
              </w:tabs>
              <w:wordWrap w:val="0"/>
              <w:autoSpaceDN w:val="0"/>
              <w:ind w:left="27"/>
              <w:jc w:val="center"/>
              <w:rPr>
                <w:rFonts w:ascii="宋体" w:hAnsi="宋体" w:hint="eastAsia"/>
                <w:b/>
                <w:color w:val="000000"/>
                <w:szCs w:val="21"/>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63D261D2" w14:textId="77777777" w:rsidR="00AF026E"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b/>
                <w:color w:val="000000"/>
                <w:szCs w:val="21"/>
              </w:rPr>
              <w:t>邮箱</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8FFA6A9" w14:textId="77777777" w:rsidR="00AF026E" w:rsidRDefault="00AF026E">
            <w:pPr>
              <w:tabs>
                <w:tab w:val="left" w:pos="360"/>
                <w:tab w:val="left" w:pos="540"/>
              </w:tabs>
              <w:wordWrap w:val="0"/>
              <w:autoSpaceDN w:val="0"/>
              <w:ind w:left="27"/>
              <w:jc w:val="center"/>
              <w:rPr>
                <w:rFonts w:ascii="宋体" w:hAnsi="宋体" w:hint="eastAsia"/>
                <w:color w:val="000000"/>
                <w:szCs w:val="21"/>
              </w:rPr>
            </w:pPr>
          </w:p>
        </w:tc>
      </w:tr>
      <w:tr w:rsidR="00AF026E" w14:paraId="6AF27CB2"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42C74" w14:textId="77777777" w:rsidR="00AF026E" w:rsidRDefault="00000000">
            <w:pPr>
              <w:tabs>
                <w:tab w:val="left" w:pos="360"/>
                <w:tab w:val="left" w:pos="540"/>
              </w:tabs>
              <w:wordWrap w:val="0"/>
              <w:autoSpaceDN w:val="0"/>
              <w:spacing w:before="156" w:after="156"/>
              <w:jc w:val="center"/>
              <w:rPr>
                <w:rFonts w:ascii="宋体" w:hAnsi="宋体" w:hint="eastAsia"/>
                <w:b/>
                <w:color w:val="000000"/>
                <w:szCs w:val="21"/>
              </w:rPr>
            </w:pPr>
            <w:r>
              <w:rPr>
                <w:rFonts w:ascii="宋体" w:hAnsi="宋体" w:hint="eastAsia"/>
                <w:b/>
                <w:color w:val="000000"/>
                <w:szCs w:val="21"/>
              </w:rPr>
              <w:t>学员姓名</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CA2EEB" w14:textId="77777777" w:rsidR="00AF026E" w:rsidRDefault="00000000">
            <w:pPr>
              <w:tabs>
                <w:tab w:val="left" w:pos="360"/>
                <w:tab w:val="left" w:pos="540"/>
              </w:tabs>
              <w:wordWrap w:val="0"/>
              <w:autoSpaceDN w:val="0"/>
              <w:jc w:val="center"/>
              <w:rPr>
                <w:rFonts w:ascii="宋体" w:hAnsi="宋体" w:hint="eastAsia"/>
                <w:b/>
                <w:color w:val="000000"/>
                <w:spacing w:val="-26"/>
                <w:szCs w:val="21"/>
              </w:rPr>
            </w:pPr>
            <w:r>
              <w:rPr>
                <w:rFonts w:ascii="宋体" w:hAnsi="宋体"/>
                <w:b/>
                <w:color w:val="000000"/>
                <w:spacing w:val="-26"/>
                <w:szCs w:val="21"/>
              </w:rPr>
              <w:t>性别</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69982" w14:textId="77777777" w:rsidR="00AF026E"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部门</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5EBC32E" w14:textId="77777777" w:rsidR="00AF026E"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职务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0AB82F7" w14:textId="77777777" w:rsidR="00AF026E"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hint="eastAsia"/>
                <w:b/>
                <w:color w:val="000000"/>
                <w:szCs w:val="21"/>
              </w:rPr>
              <w:t>手机</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2ECC33F8" w14:textId="77777777" w:rsidR="00AF026E" w:rsidRDefault="00000000">
            <w:pPr>
              <w:tabs>
                <w:tab w:val="left" w:pos="360"/>
                <w:tab w:val="left" w:pos="540"/>
              </w:tabs>
              <w:wordWrap w:val="0"/>
              <w:autoSpaceDN w:val="0"/>
              <w:ind w:left="27"/>
              <w:jc w:val="center"/>
              <w:rPr>
                <w:rFonts w:ascii="宋体" w:hAnsi="宋体" w:hint="eastAsia"/>
                <w:b/>
                <w:color w:val="000000"/>
                <w:szCs w:val="21"/>
              </w:rPr>
            </w:pPr>
            <w:r>
              <w:rPr>
                <w:rFonts w:ascii="宋体" w:hAnsi="宋体"/>
                <w:b/>
                <w:color w:val="000000"/>
                <w:szCs w:val="21"/>
              </w:rPr>
              <w:t>邮箱</w:t>
            </w:r>
          </w:p>
        </w:tc>
      </w:tr>
      <w:tr w:rsidR="00AF026E" w14:paraId="0833D3FF"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A69D11" w14:textId="77777777" w:rsidR="00AF026E" w:rsidRDefault="00AF026E">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E47E4D" w14:textId="77777777" w:rsidR="00AF026E" w:rsidRDefault="00AF026E">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CE23D2"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5840EC94"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DC0D9EF"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A757C70"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r>
      <w:tr w:rsidR="00AF026E" w14:paraId="713BA52F"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588220" w14:textId="77777777" w:rsidR="00AF026E" w:rsidRDefault="00AF026E">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84F113" w14:textId="77777777" w:rsidR="00AF026E" w:rsidRDefault="00AF026E">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212B82"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F8F109D"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E7D3093"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3BD5390"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r>
      <w:tr w:rsidR="00AF026E" w14:paraId="1F13604C"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CEF2B" w14:textId="77777777" w:rsidR="00AF026E" w:rsidRDefault="00AF026E">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AFF818" w14:textId="77777777" w:rsidR="00AF026E" w:rsidRDefault="00AF026E">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DA8C2"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5CFCDA6"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0115BD5"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4FCBE09"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r>
      <w:tr w:rsidR="00AF026E" w14:paraId="2E5347CC"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2155B" w14:textId="77777777" w:rsidR="00AF026E" w:rsidRDefault="00AF026E">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A246A" w14:textId="77777777" w:rsidR="00AF026E" w:rsidRDefault="00AF026E">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B3E6F9"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DB0D0F3"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234CC2BC"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2D77293"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r>
      <w:tr w:rsidR="00AF026E" w14:paraId="6B2C6907"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62125" w14:textId="77777777" w:rsidR="00AF026E" w:rsidRDefault="00AF026E">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25F95" w14:textId="77777777" w:rsidR="00AF026E" w:rsidRDefault="00AF026E">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9BA7C"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B73FB58"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4B7E1FB5"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40933A32"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r>
      <w:tr w:rsidR="00AF026E" w14:paraId="7B6B6922"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C61BB8" w14:textId="77777777" w:rsidR="00AF026E" w:rsidRDefault="00AF026E">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222428" w14:textId="77777777" w:rsidR="00AF026E" w:rsidRDefault="00AF026E">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1E2DA"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EF8BA9B"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71BBE59"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E6247DA"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r>
      <w:tr w:rsidR="00AF026E" w14:paraId="0EDA114B"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AD2F9E" w14:textId="77777777" w:rsidR="00AF026E" w:rsidRDefault="00AF026E">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089A64" w14:textId="77777777" w:rsidR="00AF026E" w:rsidRDefault="00AF026E">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17A793"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884838E"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EB78732"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41CA743D"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r>
      <w:tr w:rsidR="00AF026E" w14:paraId="7FAE356C"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62883" w14:textId="77777777" w:rsidR="00AF026E" w:rsidRDefault="00AF026E">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DD0141" w14:textId="77777777" w:rsidR="00AF026E" w:rsidRDefault="00AF026E">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860862"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DFC7569"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93126DE"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4DACF7E0"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r>
      <w:tr w:rsidR="00AF026E" w14:paraId="4958AB37"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46366" w14:textId="77777777" w:rsidR="00AF026E" w:rsidRDefault="00AF026E">
            <w:pPr>
              <w:tabs>
                <w:tab w:val="left" w:pos="360"/>
                <w:tab w:val="left" w:pos="540"/>
              </w:tabs>
              <w:wordWrap w:val="0"/>
              <w:autoSpaceDN w:val="0"/>
              <w:spacing w:before="156" w:after="156"/>
              <w:jc w:val="center"/>
              <w:rPr>
                <w:rFonts w:ascii="仿宋" w:eastAsia="仿宋" w:hAnsi="仿宋" w:hint="eastAsia"/>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620F0" w14:textId="77777777" w:rsidR="00AF026E" w:rsidRDefault="00AF026E">
            <w:pPr>
              <w:tabs>
                <w:tab w:val="left" w:pos="360"/>
                <w:tab w:val="left" w:pos="540"/>
              </w:tabs>
              <w:wordWrap w:val="0"/>
              <w:autoSpaceDN w:val="0"/>
              <w:rPr>
                <w:rFonts w:ascii="仿宋" w:eastAsia="仿宋" w:hAnsi="仿宋" w:hint="eastAsia"/>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4A6BB6"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912D466"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526B1822"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189AA56" w14:textId="77777777" w:rsidR="00AF026E" w:rsidRDefault="00AF026E">
            <w:pPr>
              <w:tabs>
                <w:tab w:val="left" w:pos="360"/>
                <w:tab w:val="left" w:pos="540"/>
              </w:tabs>
              <w:wordWrap w:val="0"/>
              <w:autoSpaceDN w:val="0"/>
              <w:ind w:left="27"/>
              <w:jc w:val="center"/>
              <w:rPr>
                <w:rFonts w:ascii="仿宋" w:eastAsia="仿宋" w:hAnsi="仿宋" w:hint="eastAsia"/>
                <w:b/>
                <w:color w:val="000000"/>
                <w:szCs w:val="21"/>
              </w:rPr>
            </w:pPr>
          </w:p>
        </w:tc>
      </w:tr>
      <w:tr w:rsidR="00AF026E" w14:paraId="47FAF0D6" w14:textId="77777777">
        <w:trPr>
          <w:trHeight w:val="129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AD2E20" w14:textId="77777777" w:rsidR="00AF026E" w:rsidRDefault="00000000">
            <w:pPr>
              <w:tabs>
                <w:tab w:val="left" w:pos="360"/>
                <w:tab w:val="left" w:pos="540"/>
              </w:tabs>
              <w:wordWrap w:val="0"/>
              <w:autoSpaceDN w:val="0"/>
              <w:rPr>
                <w:rFonts w:ascii="宋体" w:hAnsi="宋体" w:hint="eastAsia"/>
                <w:b/>
                <w:color w:val="000000"/>
                <w:szCs w:val="21"/>
              </w:rPr>
            </w:pPr>
            <w:r>
              <w:rPr>
                <w:rFonts w:ascii="宋体" w:hAnsi="宋体" w:hint="eastAsia"/>
                <w:b/>
                <w:color w:val="000000"/>
                <w:szCs w:val="21"/>
              </w:rPr>
              <w:t>报名程序：</w:t>
            </w:r>
          </w:p>
          <w:p w14:paraId="33CF76F7" w14:textId="77777777" w:rsidR="00AF026E" w:rsidRDefault="00000000">
            <w:pPr>
              <w:tabs>
                <w:tab w:val="left" w:pos="360"/>
                <w:tab w:val="left" w:pos="540"/>
              </w:tabs>
              <w:autoSpaceDN w:val="0"/>
              <w:ind w:left="27"/>
              <w:jc w:val="left"/>
              <w:rPr>
                <w:rFonts w:ascii="宋体" w:hAnsi="宋体" w:hint="eastAsia"/>
                <w:bCs/>
                <w:color w:val="000000"/>
                <w:szCs w:val="21"/>
              </w:rPr>
            </w:pPr>
            <w:r>
              <w:rPr>
                <w:rFonts w:ascii="宋体" w:hAnsi="宋体" w:hint="eastAsia"/>
                <w:bCs/>
                <w:color w:val="000000"/>
                <w:szCs w:val="21"/>
              </w:rPr>
              <w:t>培训费支付：刷卡/支付宝/</w:t>
            </w:r>
            <w:proofErr w:type="gramStart"/>
            <w:r>
              <w:rPr>
                <w:rFonts w:ascii="宋体" w:hAnsi="宋体" w:hint="eastAsia"/>
                <w:bCs/>
                <w:color w:val="000000"/>
                <w:szCs w:val="21"/>
              </w:rPr>
              <w:t>微信</w:t>
            </w:r>
            <w:proofErr w:type="gramEnd"/>
            <w:r>
              <w:rPr>
                <w:rFonts w:ascii="宋体" w:hAnsi="宋体" w:hint="eastAsia"/>
                <w:bCs/>
                <w:color w:val="000000"/>
                <w:szCs w:val="21"/>
              </w:rPr>
              <w:t>/汇款，其中院外培训不支持刷卡。食宿</w:t>
            </w:r>
            <w:proofErr w:type="gramStart"/>
            <w:r>
              <w:rPr>
                <w:rFonts w:ascii="宋体" w:hAnsi="宋体" w:hint="eastAsia"/>
                <w:bCs/>
                <w:color w:val="000000"/>
                <w:szCs w:val="21"/>
              </w:rPr>
              <w:t>费现场</w:t>
            </w:r>
            <w:proofErr w:type="gramEnd"/>
            <w:r>
              <w:rPr>
                <w:rFonts w:ascii="宋体" w:hAnsi="宋体" w:hint="eastAsia"/>
                <w:bCs/>
                <w:color w:val="000000"/>
                <w:szCs w:val="21"/>
              </w:rPr>
              <w:t>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3A671" w14:textId="77777777" w:rsidR="00AF026E" w:rsidRDefault="00000000">
            <w:pPr>
              <w:tabs>
                <w:tab w:val="left" w:pos="360"/>
                <w:tab w:val="left" w:pos="540"/>
              </w:tabs>
              <w:wordWrap w:val="0"/>
              <w:autoSpaceDN w:val="0"/>
              <w:rPr>
                <w:rFonts w:ascii="宋体" w:hAnsi="宋体" w:hint="eastAsia"/>
                <w:b/>
                <w:color w:val="000000"/>
                <w:szCs w:val="21"/>
              </w:rPr>
            </w:pPr>
            <w:r>
              <w:rPr>
                <w:rFonts w:ascii="宋体" w:hAnsi="宋体" w:hint="eastAsia"/>
                <w:b/>
                <w:color w:val="000000"/>
                <w:szCs w:val="21"/>
              </w:rPr>
              <w:t>学院账户：</w:t>
            </w:r>
          </w:p>
          <w:p w14:paraId="41E5062E" w14:textId="77777777" w:rsidR="00AF026E" w:rsidRDefault="00000000">
            <w:pPr>
              <w:tabs>
                <w:tab w:val="left" w:pos="360"/>
                <w:tab w:val="left" w:pos="540"/>
              </w:tabs>
              <w:wordWrap w:val="0"/>
              <w:autoSpaceDN w:val="0"/>
              <w:rPr>
                <w:rFonts w:ascii="宋体" w:hAnsi="宋体" w:hint="eastAsia"/>
                <w:bCs/>
                <w:color w:val="000000"/>
                <w:szCs w:val="21"/>
              </w:rPr>
            </w:pPr>
            <w:r>
              <w:rPr>
                <w:rFonts w:ascii="宋体" w:hAnsi="宋体" w:hint="eastAsia"/>
                <w:bCs/>
                <w:color w:val="000000"/>
                <w:szCs w:val="21"/>
              </w:rPr>
              <w:t>学院开户行：中国建设银行上海徐泾支行</w:t>
            </w:r>
          </w:p>
          <w:p w14:paraId="0A2AF758" w14:textId="77777777" w:rsidR="00AF026E" w:rsidRDefault="00000000">
            <w:pPr>
              <w:tabs>
                <w:tab w:val="left" w:pos="360"/>
                <w:tab w:val="left" w:pos="540"/>
              </w:tabs>
              <w:wordWrap w:val="0"/>
              <w:autoSpaceDN w:val="0"/>
              <w:rPr>
                <w:rFonts w:ascii="宋体" w:hAnsi="宋体" w:hint="eastAsia"/>
                <w:bCs/>
                <w:color w:val="000000"/>
                <w:szCs w:val="21"/>
              </w:rPr>
            </w:pPr>
            <w:r>
              <w:rPr>
                <w:rFonts w:ascii="宋体" w:hAnsi="宋体" w:hint="eastAsia"/>
                <w:bCs/>
                <w:color w:val="000000"/>
                <w:szCs w:val="21"/>
              </w:rPr>
              <w:t>单位名称：上海国家会计学院</w:t>
            </w:r>
          </w:p>
          <w:p w14:paraId="2D5F9C46" w14:textId="77777777" w:rsidR="00AF026E" w:rsidRDefault="00000000">
            <w:pPr>
              <w:tabs>
                <w:tab w:val="left" w:pos="360"/>
                <w:tab w:val="left" w:pos="540"/>
              </w:tabs>
              <w:wordWrap w:val="0"/>
              <w:autoSpaceDN w:val="0"/>
              <w:rPr>
                <w:rFonts w:ascii="宋体" w:hAnsi="宋体" w:hint="eastAsia"/>
                <w:b/>
                <w:color w:val="000000"/>
                <w:szCs w:val="21"/>
              </w:rPr>
            </w:pPr>
            <w:r>
              <w:rPr>
                <w:rFonts w:ascii="宋体" w:hAnsi="宋体" w:hint="eastAsia"/>
                <w:bCs/>
                <w:color w:val="000000"/>
                <w:szCs w:val="21"/>
              </w:rPr>
              <w:t>汇款账号：31001984300059768088</w:t>
            </w:r>
          </w:p>
        </w:tc>
      </w:tr>
      <w:tr w:rsidR="00AF026E" w14:paraId="1B2C2212" w14:textId="77777777">
        <w:trPr>
          <w:trHeight w:val="85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F61F8E" w14:textId="77777777" w:rsidR="00AF026E" w:rsidRDefault="00000000">
            <w:pPr>
              <w:tabs>
                <w:tab w:val="left" w:pos="360"/>
                <w:tab w:val="left" w:pos="540"/>
              </w:tabs>
              <w:autoSpaceDN w:val="0"/>
              <w:spacing w:line="360" w:lineRule="exact"/>
              <w:rPr>
                <w:rFonts w:ascii="宋体" w:hAnsi="宋体" w:hint="eastAsia"/>
                <w:b/>
                <w:color w:val="000000"/>
                <w:szCs w:val="21"/>
              </w:rPr>
            </w:pPr>
            <w:r>
              <w:rPr>
                <w:rFonts w:ascii="宋体" w:hAnsi="宋体" w:hint="eastAsia"/>
                <w:b/>
                <w:color w:val="000000"/>
                <w:szCs w:val="21"/>
              </w:rPr>
              <w:t>报名咨询：</w:t>
            </w:r>
          </w:p>
          <w:p w14:paraId="7D254DF1" w14:textId="77777777" w:rsidR="00AF026E" w:rsidRDefault="00000000">
            <w:pPr>
              <w:tabs>
                <w:tab w:val="left" w:pos="360"/>
                <w:tab w:val="left" w:pos="540"/>
              </w:tabs>
              <w:autoSpaceDN w:val="0"/>
              <w:spacing w:line="360" w:lineRule="exact"/>
              <w:rPr>
                <w:rFonts w:ascii="宋体" w:hAnsi="宋体" w:hint="eastAsia"/>
                <w:bCs/>
                <w:color w:val="000000"/>
                <w:szCs w:val="21"/>
              </w:rPr>
            </w:pPr>
            <w:r>
              <w:rPr>
                <w:rFonts w:ascii="宋体" w:hAnsi="宋体" w:hint="eastAsia"/>
                <w:bCs/>
                <w:color w:val="000000"/>
                <w:szCs w:val="21"/>
              </w:rPr>
              <w:t>黄老师：18610843353（</w:t>
            </w:r>
            <w:proofErr w:type="gramStart"/>
            <w:r>
              <w:rPr>
                <w:rFonts w:ascii="宋体" w:hAnsi="宋体" w:hint="eastAsia"/>
                <w:bCs/>
                <w:color w:val="000000"/>
                <w:szCs w:val="21"/>
              </w:rPr>
              <w:t>同微信</w:t>
            </w:r>
            <w:proofErr w:type="gramEnd"/>
            <w:r>
              <w:rPr>
                <w:rFonts w:ascii="宋体" w:hAnsi="宋体" w:hint="eastAsia"/>
                <w:bCs/>
                <w:color w:val="000000"/>
                <w:szCs w:val="21"/>
              </w:rPr>
              <w:t>）  邮箱：284828890@qq.com</w:t>
            </w:r>
          </w:p>
        </w:tc>
      </w:tr>
    </w:tbl>
    <w:p w14:paraId="0723D3CD" w14:textId="77777777" w:rsidR="00AF026E" w:rsidRDefault="00AF026E">
      <w:pPr>
        <w:spacing w:line="360" w:lineRule="auto"/>
      </w:pPr>
    </w:p>
    <w:p w14:paraId="048108FD" w14:textId="77777777" w:rsidR="00AF026E" w:rsidRDefault="00AF026E">
      <w:pPr>
        <w:spacing w:line="360" w:lineRule="auto"/>
        <w:rPr>
          <w:rFonts w:ascii="仿宋_GB2312" w:eastAsia="仿宋_GB2312" w:hAnsi="宋体" w:hint="eastAsia"/>
          <w:color w:val="000000"/>
          <w:sz w:val="32"/>
          <w:szCs w:val="32"/>
        </w:rPr>
      </w:pPr>
    </w:p>
    <w:sectPr w:rsidR="00AF026E">
      <w:headerReference w:type="even" r:id="rId8"/>
      <w:headerReference w:type="default" r:id="rId9"/>
      <w:type w:val="continuous"/>
      <w:pgSz w:w="11906" w:h="16838"/>
      <w:pgMar w:top="1246" w:right="1247" w:bottom="1402" w:left="1247" w:header="624" w:footer="595"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BEC20" w14:textId="77777777" w:rsidR="00011DCB" w:rsidRDefault="00011DCB">
      <w:r>
        <w:separator/>
      </w:r>
    </w:p>
  </w:endnote>
  <w:endnote w:type="continuationSeparator" w:id="0">
    <w:p w14:paraId="422889D6" w14:textId="77777777" w:rsidR="00011DCB" w:rsidRDefault="000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PingFang SC">
    <w:altName w:val="宋体"/>
    <w:charset w:val="86"/>
    <w:family w:val="auto"/>
    <w:pitch w:val="default"/>
    <w:sig w:usb0="00000000" w:usb1="00000000" w:usb2="00000017" w:usb3="00000000" w:csb0="00040001" w:csb1="00000000"/>
  </w:font>
  <w:font w:name="Helvetica Neue">
    <w:altName w:val="Times New Roman"/>
    <w:charset w:val="00"/>
    <w:family w:val="auto"/>
    <w:pitch w:val="default"/>
    <w:sig w:usb0="00000000" w:usb1="00000000" w:usb2="00000010" w:usb3="00000000" w:csb0="00000001" w:csb1="00000000"/>
  </w:font>
  <w:font w:name="Kaiti SC">
    <w:altName w:val="微软雅黑"/>
    <w:charset w:val="86"/>
    <w:family w:val="auto"/>
    <w:pitch w:val="default"/>
    <w:sig w:usb0="00000000" w:usb1="00000000" w:usb2="00000016" w:usb3="00000000" w:csb0="0004001F" w:csb1="00000000"/>
  </w:font>
  <w:font w:name="楷体">
    <w:panose1 w:val="02010609060101010101"/>
    <w:charset w:val="86"/>
    <w:family w:val="modern"/>
    <w:pitch w:val="fixed"/>
    <w:sig w:usb0="800002BF" w:usb1="38CF7CFA" w:usb2="00000016" w:usb3="00000000" w:csb0="00040001" w:csb1="00000000"/>
  </w:font>
  <w:font w:name="Songti SC">
    <w:altName w:val="等线"/>
    <w:charset w:val="86"/>
    <w:family w:val="auto"/>
    <w:pitch w:val="default"/>
    <w:sig w:usb0="00000000" w:usb1="0000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CBA67" w14:textId="77777777" w:rsidR="00011DCB" w:rsidRDefault="00011DCB">
      <w:r>
        <w:separator/>
      </w:r>
    </w:p>
  </w:footnote>
  <w:footnote w:type="continuationSeparator" w:id="0">
    <w:p w14:paraId="62DCC836" w14:textId="77777777" w:rsidR="00011DCB" w:rsidRDefault="0001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09C9" w14:textId="77777777" w:rsidR="00AF026E" w:rsidRDefault="00000000">
    <w:pPr>
      <w:pStyle w:val="aa"/>
      <w:framePr w:wrap="around" w:vAnchor="text" w:hAnchor="margin" w:xAlign="right" w:y="1"/>
      <w:rPr>
        <w:rStyle w:val="af3"/>
      </w:rPr>
    </w:pPr>
    <w:r>
      <w:fldChar w:fldCharType="begin"/>
    </w:r>
    <w:r>
      <w:rPr>
        <w:rStyle w:val="af3"/>
      </w:rPr>
      <w:instrText xml:space="preserve">PAGE  </w:instrText>
    </w:r>
    <w:r>
      <w:fldChar w:fldCharType="separate"/>
    </w:r>
    <w:r>
      <w:fldChar w:fldCharType="end"/>
    </w:r>
  </w:p>
  <w:p w14:paraId="3A7530AC" w14:textId="77777777" w:rsidR="00AF026E" w:rsidRDefault="00AF026E">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8BDD9" w14:textId="77777777" w:rsidR="00AF026E" w:rsidRDefault="00AF026E">
    <w:pPr>
      <w:pStyle w:val="aa"/>
      <w:pBdr>
        <w:bottom w:val="none" w:sz="0" w:space="0" w:color="auto"/>
      </w:pBdr>
      <w:tabs>
        <w:tab w:val="clear" w:pos="8306"/>
        <w:tab w:val="right" w:pos="9450"/>
      </w:tabs>
      <w:ind w:right="442"/>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25798"/>
    <w:multiLevelType w:val="multilevel"/>
    <w:tmpl w:val="54C2579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5768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BkNjhhZGM5NGVhNGYzZGQ0MTNiNWM2NTgxNzBlY2YifQ=="/>
  </w:docVars>
  <w:rsids>
    <w:rsidRoot w:val="00172A27"/>
    <w:rsid w:val="D7A7AEA7"/>
    <w:rsid w:val="00011DCB"/>
    <w:rsid w:val="00013EB6"/>
    <w:rsid w:val="000140EA"/>
    <w:rsid w:val="00020FE1"/>
    <w:rsid w:val="0002154D"/>
    <w:rsid w:val="0003074E"/>
    <w:rsid w:val="00034173"/>
    <w:rsid w:val="00034B40"/>
    <w:rsid w:val="00040D0B"/>
    <w:rsid w:val="00044664"/>
    <w:rsid w:val="00045AE5"/>
    <w:rsid w:val="000464AE"/>
    <w:rsid w:val="00070967"/>
    <w:rsid w:val="000816D7"/>
    <w:rsid w:val="00083B16"/>
    <w:rsid w:val="00083E4B"/>
    <w:rsid w:val="000936B4"/>
    <w:rsid w:val="00094A0E"/>
    <w:rsid w:val="000B43B9"/>
    <w:rsid w:val="000B71B4"/>
    <w:rsid w:val="000C0723"/>
    <w:rsid w:val="000C0B6D"/>
    <w:rsid w:val="000C13A2"/>
    <w:rsid w:val="000D2599"/>
    <w:rsid w:val="000E3D77"/>
    <w:rsid w:val="000E40AE"/>
    <w:rsid w:val="000E4F93"/>
    <w:rsid w:val="000E5A1C"/>
    <w:rsid w:val="000F275C"/>
    <w:rsid w:val="0010034C"/>
    <w:rsid w:val="001214E9"/>
    <w:rsid w:val="001254EB"/>
    <w:rsid w:val="0012629B"/>
    <w:rsid w:val="001268EF"/>
    <w:rsid w:val="00127C3B"/>
    <w:rsid w:val="00130EE3"/>
    <w:rsid w:val="001334E3"/>
    <w:rsid w:val="001363C4"/>
    <w:rsid w:val="001471F3"/>
    <w:rsid w:val="00167569"/>
    <w:rsid w:val="0017045A"/>
    <w:rsid w:val="00172A27"/>
    <w:rsid w:val="001900B9"/>
    <w:rsid w:val="00192CAA"/>
    <w:rsid w:val="00194305"/>
    <w:rsid w:val="001B1816"/>
    <w:rsid w:val="001B52D8"/>
    <w:rsid w:val="001B7855"/>
    <w:rsid w:val="001C3497"/>
    <w:rsid w:val="001D35FD"/>
    <w:rsid w:val="001D533F"/>
    <w:rsid w:val="001D6D8C"/>
    <w:rsid w:val="001E531B"/>
    <w:rsid w:val="001F0C22"/>
    <w:rsid w:val="00204282"/>
    <w:rsid w:val="00204FD5"/>
    <w:rsid w:val="00206657"/>
    <w:rsid w:val="00207F6C"/>
    <w:rsid w:val="0021237B"/>
    <w:rsid w:val="00215646"/>
    <w:rsid w:val="00217859"/>
    <w:rsid w:val="00226A21"/>
    <w:rsid w:val="00236135"/>
    <w:rsid w:val="0024343F"/>
    <w:rsid w:val="002479FD"/>
    <w:rsid w:val="00253394"/>
    <w:rsid w:val="00254EF9"/>
    <w:rsid w:val="002742BE"/>
    <w:rsid w:val="002750C1"/>
    <w:rsid w:val="002822FB"/>
    <w:rsid w:val="00294866"/>
    <w:rsid w:val="002A04CF"/>
    <w:rsid w:val="002A19B5"/>
    <w:rsid w:val="002A21D7"/>
    <w:rsid w:val="002A3C0B"/>
    <w:rsid w:val="002C17A0"/>
    <w:rsid w:val="002C264E"/>
    <w:rsid w:val="002C2F86"/>
    <w:rsid w:val="002C4D37"/>
    <w:rsid w:val="002D0391"/>
    <w:rsid w:val="002E0FE0"/>
    <w:rsid w:val="002E5B03"/>
    <w:rsid w:val="002F21AE"/>
    <w:rsid w:val="002F2FC0"/>
    <w:rsid w:val="002F40C2"/>
    <w:rsid w:val="002F4D73"/>
    <w:rsid w:val="002F5AE6"/>
    <w:rsid w:val="002F69B0"/>
    <w:rsid w:val="00304901"/>
    <w:rsid w:val="00312B89"/>
    <w:rsid w:val="003351DD"/>
    <w:rsid w:val="00340B1C"/>
    <w:rsid w:val="00347E28"/>
    <w:rsid w:val="003611F3"/>
    <w:rsid w:val="00365669"/>
    <w:rsid w:val="00367A88"/>
    <w:rsid w:val="00371E9F"/>
    <w:rsid w:val="00382E94"/>
    <w:rsid w:val="00386292"/>
    <w:rsid w:val="003862B9"/>
    <w:rsid w:val="0038646E"/>
    <w:rsid w:val="00392042"/>
    <w:rsid w:val="003A4223"/>
    <w:rsid w:val="003B1F7D"/>
    <w:rsid w:val="003B2C5D"/>
    <w:rsid w:val="003B2D94"/>
    <w:rsid w:val="003B4F4B"/>
    <w:rsid w:val="003C543E"/>
    <w:rsid w:val="003C5993"/>
    <w:rsid w:val="003C68C8"/>
    <w:rsid w:val="003D01F1"/>
    <w:rsid w:val="003F2F7D"/>
    <w:rsid w:val="003F5E13"/>
    <w:rsid w:val="00404CCF"/>
    <w:rsid w:val="004120CB"/>
    <w:rsid w:val="00415B1F"/>
    <w:rsid w:val="00424A79"/>
    <w:rsid w:val="00424C87"/>
    <w:rsid w:val="00431FC7"/>
    <w:rsid w:val="0044789C"/>
    <w:rsid w:val="0045140D"/>
    <w:rsid w:val="00457BF9"/>
    <w:rsid w:val="00457E5A"/>
    <w:rsid w:val="00473F5A"/>
    <w:rsid w:val="004772F7"/>
    <w:rsid w:val="004775A0"/>
    <w:rsid w:val="00482E35"/>
    <w:rsid w:val="00487271"/>
    <w:rsid w:val="00487384"/>
    <w:rsid w:val="004946EA"/>
    <w:rsid w:val="00495417"/>
    <w:rsid w:val="004A1FF6"/>
    <w:rsid w:val="004A318E"/>
    <w:rsid w:val="004A561C"/>
    <w:rsid w:val="004B15EC"/>
    <w:rsid w:val="00504FE3"/>
    <w:rsid w:val="00507E66"/>
    <w:rsid w:val="005102AF"/>
    <w:rsid w:val="00511683"/>
    <w:rsid w:val="005141D5"/>
    <w:rsid w:val="00523375"/>
    <w:rsid w:val="00541997"/>
    <w:rsid w:val="005454E0"/>
    <w:rsid w:val="00546AAE"/>
    <w:rsid w:val="005522CA"/>
    <w:rsid w:val="00557AF3"/>
    <w:rsid w:val="00560922"/>
    <w:rsid w:val="00562CAC"/>
    <w:rsid w:val="005714BF"/>
    <w:rsid w:val="00582B1F"/>
    <w:rsid w:val="00587651"/>
    <w:rsid w:val="00590C23"/>
    <w:rsid w:val="005942C1"/>
    <w:rsid w:val="0059759B"/>
    <w:rsid w:val="005A228B"/>
    <w:rsid w:val="005A4D3D"/>
    <w:rsid w:val="005A5ADA"/>
    <w:rsid w:val="005A6719"/>
    <w:rsid w:val="005A6F31"/>
    <w:rsid w:val="005B4569"/>
    <w:rsid w:val="005C2CF5"/>
    <w:rsid w:val="005C3A23"/>
    <w:rsid w:val="005C4890"/>
    <w:rsid w:val="005E06FA"/>
    <w:rsid w:val="005E3158"/>
    <w:rsid w:val="005E6586"/>
    <w:rsid w:val="005E6C78"/>
    <w:rsid w:val="005F316A"/>
    <w:rsid w:val="005F3B6F"/>
    <w:rsid w:val="005F44FD"/>
    <w:rsid w:val="00602D2B"/>
    <w:rsid w:val="00603E07"/>
    <w:rsid w:val="006176D3"/>
    <w:rsid w:val="00630284"/>
    <w:rsid w:val="006370B9"/>
    <w:rsid w:val="00642C17"/>
    <w:rsid w:val="00643701"/>
    <w:rsid w:val="00650282"/>
    <w:rsid w:val="00652CF2"/>
    <w:rsid w:val="00664074"/>
    <w:rsid w:val="00667869"/>
    <w:rsid w:val="00667C89"/>
    <w:rsid w:val="00672230"/>
    <w:rsid w:val="00674827"/>
    <w:rsid w:val="00677B3B"/>
    <w:rsid w:val="00685223"/>
    <w:rsid w:val="00685392"/>
    <w:rsid w:val="00687FE2"/>
    <w:rsid w:val="00697F4C"/>
    <w:rsid w:val="006A604E"/>
    <w:rsid w:val="006B1C96"/>
    <w:rsid w:val="006B31D8"/>
    <w:rsid w:val="006C103E"/>
    <w:rsid w:val="006C47ED"/>
    <w:rsid w:val="006E15F6"/>
    <w:rsid w:val="006E1D7A"/>
    <w:rsid w:val="006E383C"/>
    <w:rsid w:val="006F22C2"/>
    <w:rsid w:val="007013AC"/>
    <w:rsid w:val="007058FB"/>
    <w:rsid w:val="00710387"/>
    <w:rsid w:val="00712087"/>
    <w:rsid w:val="0071495C"/>
    <w:rsid w:val="00723426"/>
    <w:rsid w:val="007238A6"/>
    <w:rsid w:val="00723EF0"/>
    <w:rsid w:val="00725167"/>
    <w:rsid w:val="007271B6"/>
    <w:rsid w:val="00733886"/>
    <w:rsid w:val="007444E6"/>
    <w:rsid w:val="0074701F"/>
    <w:rsid w:val="007606C1"/>
    <w:rsid w:val="007613CF"/>
    <w:rsid w:val="00763868"/>
    <w:rsid w:val="007672C2"/>
    <w:rsid w:val="00770773"/>
    <w:rsid w:val="00770992"/>
    <w:rsid w:val="00770E9D"/>
    <w:rsid w:val="00773092"/>
    <w:rsid w:val="007829ED"/>
    <w:rsid w:val="007831B6"/>
    <w:rsid w:val="0078681E"/>
    <w:rsid w:val="00791E60"/>
    <w:rsid w:val="007A5039"/>
    <w:rsid w:val="007A6BB0"/>
    <w:rsid w:val="007B23B9"/>
    <w:rsid w:val="007B4A1D"/>
    <w:rsid w:val="007D292F"/>
    <w:rsid w:val="007D77E9"/>
    <w:rsid w:val="007E4AD8"/>
    <w:rsid w:val="007E59E9"/>
    <w:rsid w:val="007E66A1"/>
    <w:rsid w:val="007F23E7"/>
    <w:rsid w:val="007F4E31"/>
    <w:rsid w:val="0080162A"/>
    <w:rsid w:val="00807371"/>
    <w:rsid w:val="008142FA"/>
    <w:rsid w:val="00821D5C"/>
    <w:rsid w:val="00824D05"/>
    <w:rsid w:val="00836C07"/>
    <w:rsid w:val="008377DE"/>
    <w:rsid w:val="00841590"/>
    <w:rsid w:val="008523AB"/>
    <w:rsid w:val="00854C2D"/>
    <w:rsid w:val="0085674C"/>
    <w:rsid w:val="008638BC"/>
    <w:rsid w:val="0087215F"/>
    <w:rsid w:val="00874C99"/>
    <w:rsid w:val="00884F0A"/>
    <w:rsid w:val="00895985"/>
    <w:rsid w:val="00897940"/>
    <w:rsid w:val="008A515E"/>
    <w:rsid w:val="008B362E"/>
    <w:rsid w:val="008B4DDF"/>
    <w:rsid w:val="008B5D87"/>
    <w:rsid w:val="008B6ACF"/>
    <w:rsid w:val="008C749C"/>
    <w:rsid w:val="008D1F8C"/>
    <w:rsid w:val="008E4C5D"/>
    <w:rsid w:val="008E7FCF"/>
    <w:rsid w:val="0090182D"/>
    <w:rsid w:val="009019FD"/>
    <w:rsid w:val="00901EFF"/>
    <w:rsid w:val="009109C6"/>
    <w:rsid w:val="009135FB"/>
    <w:rsid w:val="009167CB"/>
    <w:rsid w:val="00925DA9"/>
    <w:rsid w:val="00937A67"/>
    <w:rsid w:val="009402DE"/>
    <w:rsid w:val="0094192A"/>
    <w:rsid w:val="00945A82"/>
    <w:rsid w:val="00946CCD"/>
    <w:rsid w:val="00947520"/>
    <w:rsid w:val="0095625D"/>
    <w:rsid w:val="00957A29"/>
    <w:rsid w:val="00962867"/>
    <w:rsid w:val="00965D65"/>
    <w:rsid w:val="009678B0"/>
    <w:rsid w:val="00971E63"/>
    <w:rsid w:val="0097694D"/>
    <w:rsid w:val="009817A9"/>
    <w:rsid w:val="009836AD"/>
    <w:rsid w:val="009A14FA"/>
    <w:rsid w:val="009A1FB8"/>
    <w:rsid w:val="009A20D9"/>
    <w:rsid w:val="009B1A41"/>
    <w:rsid w:val="009B75AC"/>
    <w:rsid w:val="009C1F2E"/>
    <w:rsid w:val="009C21C8"/>
    <w:rsid w:val="009C385F"/>
    <w:rsid w:val="009C79D4"/>
    <w:rsid w:val="009E25C9"/>
    <w:rsid w:val="009E2887"/>
    <w:rsid w:val="009F5615"/>
    <w:rsid w:val="009F7338"/>
    <w:rsid w:val="00A02F14"/>
    <w:rsid w:val="00A03F32"/>
    <w:rsid w:val="00A0562B"/>
    <w:rsid w:val="00A10F2C"/>
    <w:rsid w:val="00A21C77"/>
    <w:rsid w:val="00A257A2"/>
    <w:rsid w:val="00A26489"/>
    <w:rsid w:val="00A32F88"/>
    <w:rsid w:val="00A33E9E"/>
    <w:rsid w:val="00A46D12"/>
    <w:rsid w:val="00A47F41"/>
    <w:rsid w:val="00A639AE"/>
    <w:rsid w:val="00A67808"/>
    <w:rsid w:val="00A70111"/>
    <w:rsid w:val="00A80777"/>
    <w:rsid w:val="00A80B8B"/>
    <w:rsid w:val="00A92026"/>
    <w:rsid w:val="00A951B7"/>
    <w:rsid w:val="00A96546"/>
    <w:rsid w:val="00AA3FC7"/>
    <w:rsid w:val="00AD6038"/>
    <w:rsid w:val="00AD6685"/>
    <w:rsid w:val="00AD7DF5"/>
    <w:rsid w:val="00AE0910"/>
    <w:rsid w:val="00AE41E0"/>
    <w:rsid w:val="00AE5B69"/>
    <w:rsid w:val="00AF026E"/>
    <w:rsid w:val="00AF6B7C"/>
    <w:rsid w:val="00B10234"/>
    <w:rsid w:val="00B362CA"/>
    <w:rsid w:val="00B3665F"/>
    <w:rsid w:val="00B46BA1"/>
    <w:rsid w:val="00B477BA"/>
    <w:rsid w:val="00B658B8"/>
    <w:rsid w:val="00B75717"/>
    <w:rsid w:val="00B93CCF"/>
    <w:rsid w:val="00B96B01"/>
    <w:rsid w:val="00BA44EE"/>
    <w:rsid w:val="00BB0D00"/>
    <w:rsid w:val="00BB2DAC"/>
    <w:rsid w:val="00BC346C"/>
    <w:rsid w:val="00BD01B8"/>
    <w:rsid w:val="00BD04F6"/>
    <w:rsid w:val="00BD2A0D"/>
    <w:rsid w:val="00BE0239"/>
    <w:rsid w:val="00BF11C3"/>
    <w:rsid w:val="00C17DFC"/>
    <w:rsid w:val="00C2110C"/>
    <w:rsid w:val="00C24240"/>
    <w:rsid w:val="00C27DDA"/>
    <w:rsid w:val="00C3021C"/>
    <w:rsid w:val="00C32C41"/>
    <w:rsid w:val="00C34800"/>
    <w:rsid w:val="00C34C9A"/>
    <w:rsid w:val="00C358A6"/>
    <w:rsid w:val="00C51922"/>
    <w:rsid w:val="00C560AF"/>
    <w:rsid w:val="00C627A8"/>
    <w:rsid w:val="00C7730F"/>
    <w:rsid w:val="00C77B6F"/>
    <w:rsid w:val="00C8343F"/>
    <w:rsid w:val="00C91AA8"/>
    <w:rsid w:val="00C92521"/>
    <w:rsid w:val="00C94FDF"/>
    <w:rsid w:val="00CB19F5"/>
    <w:rsid w:val="00CB7445"/>
    <w:rsid w:val="00CC08AD"/>
    <w:rsid w:val="00CD07D8"/>
    <w:rsid w:val="00CD50A4"/>
    <w:rsid w:val="00CD6755"/>
    <w:rsid w:val="00CE005D"/>
    <w:rsid w:val="00CE153C"/>
    <w:rsid w:val="00CE3557"/>
    <w:rsid w:val="00CE41B2"/>
    <w:rsid w:val="00CE42CC"/>
    <w:rsid w:val="00CE6DD4"/>
    <w:rsid w:val="00CF227D"/>
    <w:rsid w:val="00CF2A23"/>
    <w:rsid w:val="00CF79EC"/>
    <w:rsid w:val="00D12419"/>
    <w:rsid w:val="00D245B2"/>
    <w:rsid w:val="00D25B6A"/>
    <w:rsid w:val="00D26A03"/>
    <w:rsid w:val="00D26A65"/>
    <w:rsid w:val="00D4655D"/>
    <w:rsid w:val="00D4680E"/>
    <w:rsid w:val="00D5234B"/>
    <w:rsid w:val="00D56E9F"/>
    <w:rsid w:val="00D57950"/>
    <w:rsid w:val="00D619EA"/>
    <w:rsid w:val="00D81B08"/>
    <w:rsid w:val="00D8759D"/>
    <w:rsid w:val="00D87B9A"/>
    <w:rsid w:val="00D9547A"/>
    <w:rsid w:val="00DA7367"/>
    <w:rsid w:val="00DB5451"/>
    <w:rsid w:val="00DC1D45"/>
    <w:rsid w:val="00DC6B9B"/>
    <w:rsid w:val="00DE2C9C"/>
    <w:rsid w:val="00DE55BF"/>
    <w:rsid w:val="00DF5119"/>
    <w:rsid w:val="00E03EAF"/>
    <w:rsid w:val="00E070B4"/>
    <w:rsid w:val="00E131AE"/>
    <w:rsid w:val="00E14B71"/>
    <w:rsid w:val="00E1653D"/>
    <w:rsid w:val="00E17024"/>
    <w:rsid w:val="00E32E99"/>
    <w:rsid w:val="00E53BDF"/>
    <w:rsid w:val="00E7038F"/>
    <w:rsid w:val="00E72C99"/>
    <w:rsid w:val="00E765EE"/>
    <w:rsid w:val="00E76D06"/>
    <w:rsid w:val="00E776CD"/>
    <w:rsid w:val="00E9558C"/>
    <w:rsid w:val="00E9584D"/>
    <w:rsid w:val="00E95BA7"/>
    <w:rsid w:val="00E9672A"/>
    <w:rsid w:val="00EB0CEE"/>
    <w:rsid w:val="00EC07CF"/>
    <w:rsid w:val="00ED189E"/>
    <w:rsid w:val="00ED219F"/>
    <w:rsid w:val="00EE2594"/>
    <w:rsid w:val="00EE74DD"/>
    <w:rsid w:val="00EF16A8"/>
    <w:rsid w:val="00EF291E"/>
    <w:rsid w:val="00F036DA"/>
    <w:rsid w:val="00F045DD"/>
    <w:rsid w:val="00F05E1F"/>
    <w:rsid w:val="00F30FAB"/>
    <w:rsid w:val="00F47018"/>
    <w:rsid w:val="00F47D86"/>
    <w:rsid w:val="00F47F4B"/>
    <w:rsid w:val="00F6134D"/>
    <w:rsid w:val="00F615CC"/>
    <w:rsid w:val="00F61A3E"/>
    <w:rsid w:val="00F7082F"/>
    <w:rsid w:val="00F71F89"/>
    <w:rsid w:val="00F74E13"/>
    <w:rsid w:val="00F767FE"/>
    <w:rsid w:val="00F77B06"/>
    <w:rsid w:val="00F86B96"/>
    <w:rsid w:val="00F87CA6"/>
    <w:rsid w:val="00F950EE"/>
    <w:rsid w:val="00F955B8"/>
    <w:rsid w:val="00F97ACA"/>
    <w:rsid w:val="00FA1120"/>
    <w:rsid w:val="00FA4935"/>
    <w:rsid w:val="00FA535D"/>
    <w:rsid w:val="00FC2FC5"/>
    <w:rsid w:val="00FC3B95"/>
    <w:rsid w:val="00FC3FB9"/>
    <w:rsid w:val="00FC5CEC"/>
    <w:rsid w:val="00FD6A23"/>
    <w:rsid w:val="00FE0777"/>
    <w:rsid w:val="02AC5A72"/>
    <w:rsid w:val="02EA3359"/>
    <w:rsid w:val="0B3D24FE"/>
    <w:rsid w:val="0D042C2D"/>
    <w:rsid w:val="0E1358AD"/>
    <w:rsid w:val="144A1DD6"/>
    <w:rsid w:val="15697C57"/>
    <w:rsid w:val="196826E6"/>
    <w:rsid w:val="23D66ADB"/>
    <w:rsid w:val="244A1018"/>
    <w:rsid w:val="30047369"/>
    <w:rsid w:val="42FD3BF5"/>
    <w:rsid w:val="43EC2AEE"/>
    <w:rsid w:val="4683443C"/>
    <w:rsid w:val="48EC6B92"/>
    <w:rsid w:val="4BA53B29"/>
    <w:rsid w:val="53C8076E"/>
    <w:rsid w:val="554A487A"/>
    <w:rsid w:val="5A0E034B"/>
    <w:rsid w:val="5A3F7C21"/>
    <w:rsid w:val="6B9E6A1E"/>
    <w:rsid w:val="6D4270CF"/>
    <w:rsid w:val="6D98425A"/>
    <w:rsid w:val="7FDF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7890B78B"/>
  <w15:docId w15:val="{CD4968B0-EAFE-466F-B1BA-449D20DD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rPr>
      <w:lang w:val="zh-CN"/>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Subtitle"/>
    <w:basedOn w:val="a"/>
    <w:next w:val="a"/>
    <w:link w:val="ac"/>
    <w:qFormat/>
    <w:pPr>
      <w:spacing w:before="240" w:after="60" w:line="312" w:lineRule="auto"/>
      <w:jc w:val="center"/>
      <w:outlineLvl w:val="1"/>
    </w:pPr>
    <w:rPr>
      <w:rFonts w:ascii="Cambria" w:hAnsi="Cambria"/>
      <w:b/>
      <w:bCs/>
      <w:kern w:val="28"/>
      <w:sz w:val="32"/>
      <w:szCs w:val="32"/>
      <w:lang w:val="zh-CN"/>
    </w:r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af"/>
    <w:qFormat/>
    <w:pPr>
      <w:spacing w:before="240" w:after="60"/>
      <w:jc w:val="center"/>
      <w:outlineLvl w:val="0"/>
    </w:pPr>
    <w:rPr>
      <w:rFonts w:ascii="Cambria" w:hAnsi="Cambria"/>
      <w:b/>
      <w:bCs/>
      <w:sz w:val="32"/>
      <w:szCs w:val="32"/>
      <w:lang w:val="zh-CN"/>
    </w:rPr>
  </w:style>
  <w:style w:type="paragraph" w:styleId="af0">
    <w:name w:val="annotation subject"/>
    <w:basedOn w:val="a3"/>
    <w:next w:val="a3"/>
    <w:link w:val="af1"/>
    <w:qFormat/>
    <w:rPr>
      <w:b/>
      <w:bCs/>
    </w:rPr>
  </w:style>
  <w:style w:type="character" w:styleId="af2">
    <w:name w:val="Strong"/>
    <w:uiPriority w:val="22"/>
    <w:qFormat/>
    <w:rPr>
      <w:b/>
      <w:bCs/>
    </w:rPr>
  </w:style>
  <w:style w:type="character" w:styleId="af3">
    <w:name w:val="page number"/>
    <w:basedOn w:val="a0"/>
    <w:qFormat/>
  </w:style>
  <w:style w:type="character" w:styleId="af4">
    <w:name w:val="FollowedHyperlink"/>
    <w:qFormat/>
    <w:rPr>
      <w:color w:val="005EAC"/>
      <w:sz w:val="18"/>
      <w:szCs w:val="18"/>
      <w:u w:val="none"/>
    </w:rPr>
  </w:style>
  <w:style w:type="character" w:styleId="af5">
    <w:name w:val="Emphasis"/>
    <w:uiPriority w:val="20"/>
    <w:qFormat/>
    <w:rPr>
      <w:i/>
      <w:iCs/>
    </w:rPr>
  </w:style>
  <w:style w:type="character" w:styleId="af6">
    <w:name w:val="Hyperlink"/>
    <w:qFormat/>
    <w:rPr>
      <w:color w:val="005EAC"/>
      <w:sz w:val="18"/>
      <w:szCs w:val="18"/>
      <w:u w:val="none"/>
    </w:rPr>
  </w:style>
  <w:style w:type="character" w:styleId="af7">
    <w:name w:val="annotation reference"/>
    <w:qFormat/>
    <w:rPr>
      <w:sz w:val="21"/>
      <w:szCs w:val="21"/>
    </w:rPr>
  </w:style>
  <w:style w:type="character" w:customStyle="1" w:styleId="down3">
    <w:name w:val="down3"/>
    <w:basedOn w:val="a0"/>
    <w:qFormat/>
  </w:style>
  <w:style w:type="character" w:customStyle="1" w:styleId="ac">
    <w:name w:val="副标题 字符"/>
    <w:link w:val="ab"/>
    <w:rPr>
      <w:rFonts w:ascii="Cambria" w:hAnsi="Cambria" w:cs="Times New Roman"/>
      <w:b/>
      <w:bCs/>
      <w:kern w:val="28"/>
      <w:sz w:val="32"/>
      <w:szCs w:val="32"/>
    </w:rPr>
  </w:style>
  <w:style w:type="character" w:customStyle="1" w:styleId="cities">
    <w:name w:val="cities"/>
    <w:rPr>
      <w:color w:val="000000"/>
      <w:sz w:val="12"/>
      <w:szCs w:val="12"/>
      <w:u w:val="none"/>
    </w:rPr>
  </w:style>
  <w:style w:type="character" w:customStyle="1" w:styleId="down1">
    <w:name w:val="down1"/>
    <w:basedOn w:val="a0"/>
    <w:qFormat/>
  </w:style>
  <w:style w:type="character" w:customStyle="1" w:styleId="11">
    <w:name w:val="明显强调1"/>
    <w:uiPriority w:val="21"/>
    <w:qFormat/>
    <w:rPr>
      <w:b/>
      <w:bCs/>
      <w:i/>
      <w:iCs/>
      <w:color w:val="4F81BD"/>
    </w:rPr>
  </w:style>
  <w:style w:type="character" w:customStyle="1" w:styleId="apple-converted-space">
    <w:name w:val="apple-converted-space"/>
    <w:basedOn w:val="a0"/>
    <w:qFormat/>
  </w:style>
  <w:style w:type="character" w:customStyle="1" w:styleId="cities1">
    <w:name w:val="cities1"/>
    <w:qFormat/>
    <w:rPr>
      <w:color w:val="FFFFFF"/>
      <w:u w:val="none"/>
    </w:rPr>
  </w:style>
  <w:style w:type="character" w:customStyle="1" w:styleId="10">
    <w:name w:val="标题 1 字符"/>
    <w:link w:val="1"/>
    <w:qFormat/>
    <w:rPr>
      <w:b/>
      <w:bCs/>
      <w:kern w:val="44"/>
      <w:sz w:val="44"/>
      <w:szCs w:val="44"/>
    </w:rPr>
  </w:style>
  <w:style w:type="character" w:customStyle="1" w:styleId="down">
    <w:name w:val="down"/>
    <w:basedOn w:val="a0"/>
    <w:qFormat/>
  </w:style>
  <w:style w:type="character" w:customStyle="1" w:styleId="12">
    <w:name w:val="不明显强调1"/>
    <w:uiPriority w:val="19"/>
    <w:qFormat/>
    <w:rPr>
      <w:i/>
      <w:iCs/>
      <w:color w:val="808080"/>
    </w:rPr>
  </w:style>
  <w:style w:type="character" w:customStyle="1" w:styleId="a6">
    <w:name w:val="日期 字符"/>
    <w:link w:val="a5"/>
    <w:rPr>
      <w:kern w:val="2"/>
      <w:sz w:val="21"/>
    </w:rPr>
  </w:style>
  <w:style w:type="character" w:customStyle="1" w:styleId="down2">
    <w:name w:val="down2"/>
    <w:basedOn w:val="a0"/>
    <w:qFormat/>
  </w:style>
  <w:style w:type="character" w:customStyle="1" w:styleId="af">
    <w:name w:val="标题 字符"/>
    <w:link w:val="ae"/>
    <w:rPr>
      <w:rFonts w:ascii="Cambria" w:hAnsi="Cambria" w:cs="Times New Roman"/>
      <w:b/>
      <w:bCs/>
      <w:kern w:val="2"/>
      <w:sz w:val="32"/>
      <w:szCs w:val="32"/>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styleId="af8">
    <w:name w:val="No Spacing"/>
    <w:uiPriority w:val="1"/>
    <w:qFormat/>
    <w:pPr>
      <w:widowControl w:val="0"/>
      <w:jc w:val="both"/>
    </w:pPr>
    <w:rPr>
      <w:rFonts w:ascii="Calibri" w:hAnsi="Calibri"/>
      <w:kern w:val="2"/>
      <w:sz w:val="21"/>
      <w:szCs w:val="22"/>
    </w:rPr>
  </w:style>
  <w:style w:type="paragraph" w:styleId="af9">
    <w:name w:val="List Paragraph"/>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abstract">
    <w:name w:val="abstract"/>
    <w:basedOn w:val="a"/>
    <w:uiPriority w:val="99"/>
    <w:qFormat/>
    <w:pPr>
      <w:widowControl/>
      <w:pBdr>
        <w:top w:val="none" w:sz="0" w:space="1" w:color="000000"/>
        <w:left w:val="none" w:sz="0" w:space="4" w:color="000000"/>
        <w:bottom w:val="none" w:sz="0" w:space="1" w:color="000000"/>
        <w:right w:val="none" w:sz="0" w:space="4" w:color="000000"/>
        <w:between w:val="none" w:sz="0" w:space="0" w:color="000000"/>
      </w:pBdr>
      <w:tabs>
        <w:tab w:val="center" w:pos="4153"/>
        <w:tab w:val="right" w:pos="8306"/>
      </w:tabs>
      <w:jc w:val="left"/>
    </w:pPr>
    <w:rPr>
      <w:rFonts w:ascii="宋体" w:hAnsi="宋体" w:cs="宋体"/>
      <w:kern w:val="1"/>
      <w:sz w:val="24"/>
      <w:szCs w:val="24"/>
    </w:rPr>
  </w:style>
  <w:style w:type="character" w:customStyle="1" w:styleId="a8">
    <w:name w:val="批注框文本 字符"/>
    <w:link w:val="a7"/>
    <w:rPr>
      <w:kern w:val="2"/>
      <w:sz w:val="18"/>
      <w:szCs w:val="18"/>
    </w:rPr>
  </w:style>
  <w:style w:type="character" w:customStyle="1" w:styleId="a4">
    <w:name w:val="批注文字 字符"/>
    <w:link w:val="a3"/>
    <w:rPr>
      <w:kern w:val="2"/>
      <w:sz w:val="21"/>
    </w:rPr>
  </w:style>
  <w:style w:type="character" w:customStyle="1" w:styleId="af1">
    <w:name w:val="批注主题 字符"/>
    <w:link w:val="af0"/>
    <w:rPr>
      <w:b/>
      <w:bCs/>
      <w:kern w:val="2"/>
      <w:sz w:val="21"/>
    </w:rPr>
  </w:style>
  <w:style w:type="character" w:customStyle="1" w:styleId="13">
    <w:name w:val="未处理的提及1"/>
    <w:uiPriority w:val="99"/>
    <w:semiHidden/>
    <w:unhideWhenUsed/>
    <w:rPr>
      <w:color w:val="605E5C"/>
      <w:shd w:val="clear" w:color="auto" w:fill="E1DFDD"/>
    </w:rPr>
  </w:style>
  <w:style w:type="paragraph" w:customStyle="1" w:styleId="14">
    <w:name w:val="修订1"/>
    <w:hidden/>
    <w:uiPriority w:val="99"/>
    <w:unhideWhenUsed/>
    <w:rPr>
      <w:kern w:val="2"/>
      <w:sz w:val="21"/>
    </w:rPr>
  </w:style>
  <w:style w:type="paragraph" w:customStyle="1" w:styleId="p1">
    <w:name w:val="p1"/>
    <w:basedOn w:val="a"/>
    <w:pPr>
      <w:jc w:val="left"/>
    </w:pPr>
    <w:rPr>
      <w:rFonts w:ascii="PingFang SC" w:eastAsia="PingFang SC" w:hAnsi="PingFang SC"/>
      <w:color w:val="000000"/>
      <w:kern w:val="0"/>
      <w:sz w:val="32"/>
      <w:szCs w:val="32"/>
    </w:rPr>
  </w:style>
  <w:style w:type="character" w:customStyle="1" w:styleId="s1">
    <w:name w:val="s1"/>
    <w:basedOn w:val="a0"/>
    <w:rPr>
      <w:rFonts w:ascii="Helvetica Neue" w:eastAsia="Helvetica Neue" w:hAnsi="Helvetica Neue" w:cs="Helvetica Neue"/>
      <w:sz w:val="32"/>
      <w:szCs w:val="32"/>
    </w:rPr>
  </w:style>
  <w:style w:type="paragraph" w:styleId="afa">
    <w:name w:val="Revision"/>
    <w:hidden/>
    <w:uiPriority w:val="99"/>
    <w:unhideWhenUsed/>
    <w:rsid w:val="009135F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330</Words>
  <Characters>1884</Characters>
  <Application>Microsoft Office Word</Application>
  <DocSecurity>0</DocSecurity>
  <Lines>15</Lines>
  <Paragraphs>4</Paragraphs>
  <ScaleCrop>false</ScaleCrop>
  <Company>Microsoft</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2012年企业所得税汇算清缴疑难问题解析</dc:title>
  <dc:creator>小一</dc:creator>
  <cp:lastModifiedBy>曹巧波</cp:lastModifiedBy>
  <cp:revision>10</cp:revision>
  <cp:lastPrinted>2013-02-27T08:58:00Z</cp:lastPrinted>
  <dcterms:created xsi:type="dcterms:W3CDTF">2024-06-05T14:18:00Z</dcterms:created>
  <dcterms:modified xsi:type="dcterms:W3CDTF">2025-01-16T03:40:00Z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F47588C2A4C64FAE91C3A665B86D39BE_13</vt:lpwstr>
  </property>
</Properties>
</file>