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7EDE" w14:textId="77777777" w:rsidR="00493FEC" w:rsidRDefault="00493FEC" w:rsidP="00493FEC">
      <w:pPr>
        <w:spacing w:line="360" w:lineRule="auto"/>
        <w:jc w:val="distribute"/>
        <w:rPr>
          <w:rFonts w:ascii="Kaiti SC" w:eastAsia="Kaiti SC" w:hAnsi="Kaiti SC" w:cs="楷体" w:hint="eastAsia"/>
          <w:b/>
          <w:bCs/>
          <w:color w:val="FF3300"/>
          <w:spacing w:val="-40"/>
          <w:sz w:val="96"/>
          <w:szCs w:val="96"/>
        </w:rPr>
      </w:pPr>
    </w:p>
    <w:p w14:paraId="2AB8CB77" w14:textId="77777777" w:rsidR="00493FEC" w:rsidRPr="009427A8" w:rsidRDefault="00493FEC" w:rsidP="00493FEC">
      <w:pPr>
        <w:spacing w:line="360" w:lineRule="auto"/>
        <w:jc w:val="center"/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</w:pPr>
      <w:r w:rsidRPr="009427A8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0E624C48" w14:textId="77777777" w:rsidR="00493FEC" w:rsidRPr="009427A8" w:rsidRDefault="00493FEC" w:rsidP="00493FEC">
      <w:pPr>
        <w:spacing w:line="360" w:lineRule="auto"/>
        <w:rPr>
          <w:rFonts w:ascii="Songti SC" w:eastAsia="Songti SC" w:hAnsi="Songti SC" w:hint="eastAsia"/>
          <w:b/>
          <w:bCs/>
          <w:sz w:val="11"/>
        </w:rPr>
      </w:pPr>
    </w:p>
    <w:p w14:paraId="6C151489" w14:textId="41D6D2FF" w:rsidR="00493FEC" w:rsidRPr="009427A8" w:rsidRDefault="00493FEC" w:rsidP="00493FEC">
      <w:pPr>
        <w:spacing w:line="360" w:lineRule="auto"/>
        <w:jc w:val="center"/>
        <w:rPr>
          <w:rFonts w:ascii="宋体" w:hAnsi="宋体" w:cs="微软雅黑" w:hint="eastAsia"/>
          <w:bCs/>
          <w:sz w:val="32"/>
          <w:szCs w:val="32"/>
        </w:rPr>
      </w:pPr>
      <w:r w:rsidRPr="009427A8">
        <w:rPr>
          <w:rFonts w:ascii="宋体" w:hAnsi="宋体" w:cs="楷体" w:hint="eastAsia"/>
          <w:bCs/>
          <w:sz w:val="42"/>
          <w:szCs w:val="42"/>
        </w:rPr>
        <w:t xml:space="preserve"> </w:t>
      </w:r>
      <w:r w:rsidRPr="009427A8">
        <w:rPr>
          <w:rFonts w:ascii="宋体" w:hAnsi="宋体" w:cs="微软雅黑" w:hint="eastAsia"/>
          <w:bCs/>
          <w:sz w:val="32"/>
          <w:szCs w:val="32"/>
        </w:rPr>
        <w:t xml:space="preserve">  </w:t>
      </w:r>
      <w:r w:rsidRPr="009427A8">
        <w:rPr>
          <w:rFonts w:ascii="宋体" w:hAnsi="宋体" w:cs="微软雅黑" w:hint="eastAsia"/>
          <w:bCs/>
          <w:sz w:val="32"/>
          <w:szCs w:val="32"/>
        </w:rPr>
        <w:t>上国会</w:t>
      </w:r>
      <w:proofErr w:type="gramStart"/>
      <w:r w:rsidRPr="009427A8">
        <w:rPr>
          <w:rFonts w:ascii="宋体" w:hAnsi="宋体" w:cs="微软雅黑" w:hint="eastAsia"/>
          <w:bCs/>
          <w:sz w:val="32"/>
          <w:szCs w:val="32"/>
        </w:rPr>
        <w:t>培</w:t>
      </w:r>
      <w:proofErr w:type="gramEnd"/>
      <w:r w:rsidRPr="009427A8">
        <w:rPr>
          <w:rFonts w:ascii="宋体" w:hAnsi="宋体" w:cs="微软雅黑" w:hint="eastAsia"/>
          <w:bCs/>
          <w:sz w:val="32"/>
          <w:szCs w:val="32"/>
        </w:rPr>
        <w:t>〔</w:t>
      </w:r>
      <w:r w:rsidRPr="009427A8">
        <w:rPr>
          <w:rFonts w:ascii="宋体" w:hAnsi="宋体" w:cs="微软雅黑"/>
          <w:bCs/>
          <w:sz w:val="32"/>
          <w:szCs w:val="32"/>
        </w:rPr>
        <w:t>202</w:t>
      </w:r>
      <w:r w:rsidR="00470806" w:rsidRPr="009427A8">
        <w:rPr>
          <w:rFonts w:ascii="宋体" w:hAnsi="宋体" w:cs="微软雅黑" w:hint="eastAsia"/>
          <w:bCs/>
          <w:sz w:val="32"/>
          <w:szCs w:val="32"/>
        </w:rPr>
        <w:t>5</w:t>
      </w:r>
      <w:r w:rsidRPr="009427A8">
        <w:rPr>
          <w:rFonts w:ascii="宋体" w:hAnsi="宋体" w:cs="微软雅黑" w:hint="eastAsia"/>
          <w:bCs/>
          <w:sz w:val="32"/>
          <w:szCs w:val="32"/>
        </w:rPr>
        <w:t>〕</w:t>
      </w:r>
      <w:r w:rsidR="0037609C" w:rsidRPr="009427A8">
        <w:rPr>
          <w:rFonts w:ascii="宋体" w:hAnsi="宋体" w:cs="微软雅黑"/>
          <w:bCs/>
          <w:sz w:val="32"/>
          <w:szCs w:val="32"/>
        </w:rPr>
        <w:t>20</w:t>
      </w:r>
      <w:r w:rsidRPr="009427A8">
        <w:rPr>
          <w:rFonts w:ascii="宋体" w:hAnsi="宋体" w:cs="微软雅黑" w:hint="eastAsia"/>
          <w:bCs/>
          <w:sz w:val="32"/>
          <w:szCs w:val="32"/>
        </w:rPr>
        <w:t>号</w:t>
      </w:r>
    </w:p>
    <w:p w14:paraId="7FC1B650" w14:textId="77777777" w:rsidR="00493FEC" w:rsidRPr="009427A8" w:rsidRDefault="00493FEC" w:rsidP="00493FEC">
      <w:pPr>
        <w:spacing w:line="360" w:lineRule="auto"/>
        <w:jc w:val="center"/>
        <w:rPr>
          <w:rFonts w:ascii="仿宋_GB2312" w:eastAsia="仿宋_GB2312" w:hAnsi="楷体" w:cs="楷体" w:hint="eastAsia"/>
          <w:b/>
          <w:bCs/>
          <w:sz w:val="20"/>
          <w:szCs w:val="18"/>
        </w:rPr>
      </w:pPr>
      <w:r w:rsidRPr="009427A8"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7B41C" wp14:editId="02254C46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0" t="0" r="2476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8505E" id="直接连接符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2.3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" strokecolor="red" strokeweight="2pt"/>
            </w:pict>
          </mc:Fallback>
        </mc:AlternateContent>
      </w:r>
    </w:p>
    <w:p w14:paraId="457C26A7" w14:textId="77777777" w:rsidR="00493FEC" w:rsidRPr="009427A8" w:rsidRDefault="00493FEC" w:rsidP="00493FEC">
      <w:pPr>
        <w:spacing w:line="360" w:lineRule="auto"/>
        <w:ind w:rightChars="-15" w:right="-31"/>
        <w:jc w:val="center"/>
        <w:rPr>
          <w:rFonts w:ascii="宋体" w:hAnsi="宋体" w:hint="eastAsia"/>
          <w:b/>
          <w:sz w:val="44"/>
          <w:szCs w:val="44"/>
        </w:rPr>
      </w:pPr>
    </w:p>
    <w:p w14:paraId="6542EC87" w14:textId="77777777" w:rsidR="00196235" w:rsidRPr="009427A8" w:rsidRDefault="00803999" w:rsidP="00803999">
      <w:pPr>
        <w:spacing w:line="640" w:lineRule="exact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 w:rsidRPr="009427A8">
        <w:rPr>
          <w:rFonts w:ascii="黑体" w:eastAsia="黑体" w:hAnsi="黑体" w:cs="Times New Roman" w:hint="eastAsia"/>
          <w:b/>
          <w:sz w:val="36"/>
          <w:szCs w:val="36"/>
        </w:rPr>
        <w:t>关于举办“</w:t>
      </w:r>
      <w:bookmarkStart w:id="0" w:name="_Hlk144985444"/>
      <w:r w:rsidR="00703740" w:rsidRPr="009427A8">
        <w:rPr>
          <w:rFonts w:ascii="黑体" w:eastAsia="黑体" w:hAnsi="黑体" w:cs="Times New Roman" w:hint="eastAsia"/>
          <w:b/>
          <w:sz w:val="36"/>
          <w:szCs w:val="36"/>
        </w:rPr>
        <w:t>高收入</w:t>
      </w:r>
      <w:r w:rsidR="00683458" w:rsidRPr="009427A8">
        <w:rPr>
          <w:rFonts w:ascii="黑体" w:eastAsia="黑体" w:hAnsi="黑体" w:cs="Times New Roman" w:hint="eastAsia"/>
          <w:b/>
          <w:sz w:val="36"/>
          <w:szCs w:val="36"/>
        </w:rPr>
        <w:t>高净值</w:t>
      </w:r>
      <w:r w:rsidRPr="009427A8">
        <w:rPr>
          <w:rFonts w:ascii="黑体" w:eastAsia="黑体" w:hAnsi="黑体" w:cs="Times New Roman" w:hint="eastAsia"/>
          <w:b/>
          <w:sz w:val="36"/>
          <w:szCs w:val="36"/>
        </w:rPr>
        <w:t>人群</w:t>
      </w:r>
      <w:r w:rsidR="00C260FB" w:rsidRPr="009427A8">
        <w:rPr>
          <w:rFonts w:ascii="黑体" w:eastAsia="黑体" w:hAnsi="黑体" w:cs="Times New Roman" w:hint="eastAsia"/>
          <w:b/>
          <w:sz w:val="36"/>
          <w:szCs w:val="36"/>
        </w:rPr>
        <w:t>及相关人士的</w:t>
      </w:r>
    </w:p>
    <w:p w14:paraId="7C561CC6" w14:textId="5A69B903" w:rsidR="00803999" w:rsidRPr="009427A8" w:rsidRDefault="00803999" w:rsidP="00803999">
      <w:pPr>
        <w:spacing w:line="640" w:lineRule="exact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 w:rsidRPr="009427A8">
        <w:rPr>
          <w:rFonts w:ascii="黑体" w:eastAsia="黑体" w:hAnsi="黑体" w:cs="Times New Roman" w:hint="eastAsia"/>
          <w:b/>
          <w:sz w:val="36"/>
          <w:szCs w:val="36"/>
        </w:rPr>
        <w:t>税收风险与</w:t>
      </w:r>
      <w:bookmarkEnd w:id="0"/>
      <w:r w:rsidR="0061717C">
        <w:rPr>
          <w:rFonts w:ascii="黑体" w:eastAsia="黑体" w:hAnsi="黑体" w:cs="Times New Roman" w:hint="eastAsia"/>
          <w:b/>
          <w:sz w:val="36"/>
          <w:szCs w:val="36"/>
        </w:rPr>
        <w:t>防范</w:t>
      </w:r>
      <w:proofErr w:type="gramStart"/>
      <w:r w:rsidRPr="009427A8">
        <w:rPr>
          <w:rFonts w:ascii="黑体" w:eastAsia="黑体" w:hAnsi="黑体" w:cs="Times New Roman" w:hint="eastAsia"/>
          <w:b/>
          <w:sz w:val="36"/>
          <w:szCs w:val="36"/>
        </w:rPr>
        <w:t>”</w:t>
      </w:r>
      <w:proofErr w:type="gramEnd"/>
      <w:r w:rsidRPr="009427A8">
        <w:rPr>
          <w:rFonts w:ascii="黑体" w:eastAsia="黑体" w:hAnsi="黑体" w:cs="Times New Roman" w:hint="eastAsia"/>
          <w:b/>
          <w:sz w:val="36"/>
          <w:szCs w:val="36"/>
        </w:rPr>
        <w:t>课程的通知</w:t>
      </w:r>
    </w:p>
    <w:p w14:paraId="0E9ACACC" w14:textId="77777777" w:rsidR="00803999" w:rsidRPr="0016361D" w:rsidRDefault="00803999" w:rsidP="00803999">
      <w:pPr>
        <w:rPr>
          <w:rFonts w:hint="eastAsia"/>
          <w:b/>
          <w:sz w:val="28"/>
          <w:szCs w:val="28"/>
        </w:rPr>
      </w:pPr>
    </w:p>
    <w:p w14:paraId="6362B91E" w14:textId="77777777" w:rsidR="00803999" w:rsidRPr="009427A8" w:rsidRDefault="00803999" w:rsidP="00803999">
      <w:pPr>
        <w:pStyle w:val="a9"/>
        <w:rPr>
          <w:rFonts w:ascii="仿宋_GB2312" w:eastAsia="仿宋_GB2312" w:hAnsi="仿宋" w:hint="eastAsia"/>
          <w:sz w:val="32"/>
          <w:szCs w:val="32"/>
        </w:rPr>
      </w:pPr>
      <w:r w:rsidRPr="009427A8">
        <w:rPr>
          <w:rFonts w:ascii="仿宋_GB2312" w:eastAsia="仿宋_GB2312" w:hAnsi="仿宋" w:hint="eastAsia"/>
          <w:sz w:val="32"/>
          <w:szCs w:val="32"/>
        </w:rPr>
        <w:t>各相关单位：</w:t>
      </w:r>
    </w:p>
    <w:p w14:paraId="5D6498E6" w14:textId="77777777" w:rsidR="00803999" w:rsidRPr="009427A8" w:rsidRDefault="00803999" w:rsidP="009427A8">
      <w:pPr>
        <w:pStyle w:val="a9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427A8">
        <w:rPr>
          <w:rFonts w:ascii="仿宋_GB2312" w:eastAsia="仿宋_GB2312" w:hAnsi="仿宋" w:hint="eastAsia"/>
          <w:sz w:val="32"/>
          <w:szCs w:val="32"/>
        </w:rPr>
        <w:t>党的“二十大”报告指出，“完善个人所得税制度，规范收入分配秩序，规范财富积累机制，保护合法收入，调节过高收入。”这一要求明确指向对高收入群体加强税收调节。而《扩大内需战略规划纲要</w:t>
      </w:r>
      <w:r w:rsidRPr="009427A8">
        <w:rPr>
          <w:rFonts w:ascii="仿宋_GB2312" w:eastAsia="仿宋_GB2312" w:hAnsi="仿宋"/>
          <w:sz w:val="32"/>
          <w:szCs w:val="32"/>
        </w:rPr>
        <w:t xml:space="preserve"> （2022</w:t>
      </w:r>
      <w:r w:rsidRPr="009427A8">
        <w:rPr>
          <w:rFonts w:ascii="仿宋_GB2312" w:eastAsia="仿宋_GB2312" w:hAnsi="仿宋"/>
          <w:sz w:val="32"/>
          <w:szCs w:val="32"/>
        </w:rPr>
        <w:t>—</w:t>
      </w:r>
      <w:r w:rsidRPr="009427A8">
        <w:rPr>
          <w:rFonts w:ascii="仿宋_GB2312" w:eastAsia="仿宋_GB2312" w:hAnsi="仿宋"/>
          <w:sz w:val="32"/>
          <w:szCs w:val="32"/>
        </w:rPr>
        <w:t>2035年）》</w:t>
      </w:r>
      <w:r w:rsidRPr="009427A8">
        <w:rPr>
          <w:rFonts w:ascii="仿宋_GB2312" w:eastAsia="仿宋_GB2312" w:hAnsi="仿宋" w:hint="eastAsia"/>
          <w:sz w:val="32"/>
          <w:szCs w:val="32"/>
        </w:rPr>
        <w:t>进一步明确提出，“健全直接税体系，完善综合与分类相结合的个人所得税制度，加强对高收入者的税收调节和监管”</w:t>
      </w:r>
      <w:r w:rsidRPr="009427A8">
        <w:rPr>
          <w:rFonts w:ascii="仿宋_GB2312" w:eastAsia="仿宋_GB2312" w:hAnsi="仿宋"/>
          <w:sz w:val="32"/>
          <w:szCs w:val="32"/>
        </w:rPr>
        <w:t>。</w:t>
      </w:r>
      <w:r w:rsidRPr="009427A8">
        <w:rPr>
          <w:rFonts w:ascii="仿宋_GB2312" w:eastAsia="仿宋_GB2312" w:hAnsi="仿宋" w:hint="eastAsia"/>
          <w:sz w:val="32"/>
          <w:szCs w:val="32"/>
        </w:rPr>
        <w:t>不管是基于社会主义国家“共同富裕”的内在追求，还是扩大内需、推动经济高质量发展的现实需要，加强高收入高净值人群的税收征管已成为必然选择。</w:t>
      </w:r>
    </w:p>
    <w:p w14:paraId="42939D9E" w14:textId="798D65CF" w:rsidR="00A33DE4" w:rsidRPr="009427A8" w:rsidRDefault="00470806" w:rsidP="009427A8">
      <w:pPr>
        <w:pStyle w:val="a9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427A8">
        <w:rPr>
          <w:rFonts w:ascii="仿宋_GB2312" w:eastAsia="仿宋_GB2312" w:hAnsi="仿宋" w:hint="eastAsia"/>
          <w:sz w:val="32"/>
          <w:szCs w:val="32"/>
        </w:rPr>
        <w:lastRenderedPageBreak/>
        <w:t>2024</w:t>
      </w:r>
      <w:r w:rsidR="000B1278" w:rsidRPr="009427A8">
        <w:rPr>
          <w:rFonts w:ascii="仿宋_GB2312" w:eastAsia="仿宋_GB2312" w:hAnsi="仿宋" w:hint="eastAsia"/>
          <w:sz w:val="32"/>
          <w:szCs w:val="32"/>
        </w:rPr>
        <w:t>年以来，政府财力趋紧，诸多地方政府明确要求“颗粒归仓、应收尽收”，“双高人群”成为重点。</w:t>
      </w:r>
      <w:r w:rsidRPr="009427A8">
        <w:rPr>
          <w:rFonts w:ascii="仿宋_GB2312" w:eastAsia="仿宋_GB2312" w:hAnsi="仿宋" w:hint="eastAsia"/>
          <w:sz w:val="32"/>
          <w:szCs w:val="32"/>
        </w:rPr>
        <w:t>2024年</w:t>
      </w:r>
      <w:r w:rsidR="000B1278" w:rsidRPr="009427A8">
        <w:rPr>
          <w:rFonts w:ascii="仿宋_GB2312" w:eastAsia="仿宋_GB2312" w:hAnsi="仿宋"/>
          <w:sz w:val="32"/>
          <w:szCs w:val="32"/>
        </w:rPr>
        <w:t>3月份，最高法和最高</w:t>
      </w:r>
      <w:proofErr w:type="gramStart"/>
      <w:r w:rsidR="000B1278" w:rsidRPr="009427A8">
        <w:rPr>
          <w:rFonts w:ascii="仿宋_GB2312" w:eastAsia="仿宋_GB2312" w:hAnsi="仿宋"/>
          <w:sz w:val="32"/>
          <w:szCs w:val="32"/>
        </w:rPr>
        <w:t>检发布</w:t>
      </w:r>
      <w:proofErr w:type="gramEnd"/>
      <w:r w:rsidR="000B1278" w:rsidRPr="009427A8">
        <w:rPr>
          <w:rFonts w:ascii="仿宋_GB2312" w:eastAsia="仿宋_GB2312" w:hAnsi="仿宋"/>
          <w:sz w:val="32"/>
          <w:szCs w:val="32"/>
        </w:rPr>
        <w:t>《关于办理危害税收征管刑事案件适用法律若干问题的解释》，这对于</w:t>
      </w:r>
      <w:r w:rsidR="000B1278" w:rsidRPr="009427A8">
        <w:rPr>
          <w:rFonts w:ascii="仿宋_GB2312" w:eastAsia="仿宋_GB2312" w:hAnsi="仿宋" w:hint="eastAsia"/>
          <w:sz w:val="32"/>
          <w:szCs w:val="32"/>
        </w:rPr>
        <w:t>“双高人群”</w:t>
      </w:r>
      <w:r w:rsidR="000B1278" w:rsidRPr="009427A8">
        <w:rPr>
          <w:rFonts w:ascii="仿宋_GB2312" w:eastAsia="仿宋_GB2312" w:hAnsi="仿宋"/>
          <w:sz w:val="32"/>
          <w:szCs w:val="32"/>
        </w:rPr>
        <w:t>的税务合</w:t>
      </w:r>
      <w:proofErr w:type="gramStart"/>
      <w:r w:rsidR="000B1278" w:rsidRPr="009427A8">
        <w:rPr>
          <w:rFonts w:ascii="仿宋_GB2312" w:eastAsia="仿宋_GB2312" w:hAnsi="仿宋"/>
          <w:sz w:val="32"/>
          <w:szCs w:val="32"/>
        </w:rPr>
        <w:t>规</w:t>
      </w:r>
      <w:proofErr w:type="gramEnd"/>
      <w:r w:rsidR="000B1278" w:rsidRPr="009427A8">
        <w:rPr>
          <w:rFonts w:ascii="仿宋_GB2312" w:eastAsia="仿宋_GB2312" w:hAnsi="仿宋"/>
          <w:sz w:val="32"/>
          <w:szCs w:val="32"/>
        </w:rPr>
        <w:t>提出了更高的要求</w:t>
      </w:r>
      <w:r w:rsidR="00A33DE4" w:rsidRPr="009427A8">
        <w:rPr>
          <w:rFonts w:ascii="仿宋_GB2312" w:eastAsia="仿宋_GB2312" w:hAnsi="仿宋" w:hint="eastAsia"/>
          <w:sz w:val="32"/>
          <w:szCs w:val="32"/>
        </w:rPr>
        <w:t>；新《公司法》及相关细则定于</w:t>
      </w:r>
      <w:r w:rsidR="00A33DE4" w:rsidRPr="009427A8">
        <w:rPr>
          <w:rFonts w:ascii="仿宋_GB2312" w:eastAsia="仿宋_GB2312" w:hAnsi="仿宋"/>
          <w:sz w:val="32"/>
          <w:szCs w:val="32"/>
        </w:rPr>
        <w:t>2024年7月1日正式施行，</w:t>
      </w:r>
      <w:r w:rsidR="00A33DE4" w:rsidRPr="009427A8">
        <w:rPr>
          <w:rFonts w:ascii="仿宋_GB2312" w:eastAsia="仿宋_GB2312" w:hAnsi="仿宋" w:hint="eastAsia"/>
          <w:sz w:val="32"/>
          <w:szCs w:val="32"/>
        </w:rPr>
        <w:t>新规则</w:t>
      </w:r>
      <w:r w:rsidR="00A33DE4" w:rsidRPr="009427A8">
        <w:rPr>
          <w:rFonts w:ascii="仿宋_GB2312" w:eastAsia="仿宋_GB2312" w:hAnsi="仿宋"/>
          <w:sz w:val="32"/>
          <w:szCs w:val="32"/>
        </w:rPr>
        <w:t>将对</w:t>
      </w:r>
      <w:r w:rsidR="00A33DE4" w:rsidRPr="009427A8">
        <w:rPr>
          <w:rFonts w:ascii="仿宋_GB2312" w:eastAsia="仿宋_GB2312" w:hAnsi="仿宋" w:hint="eastAsia"/>
          <w:sz w:val="32"/>
          <w:szCs w:val="32"/>
        </w:rPr>
        <w:t>企业的股东以及董监高等高净值人士</w:t>
      </w:r>
      <w:r w:rsidR="00A33DE4" w:rsidRPr="009427A8">
        <w:rPr>
          <w:rFonts w:ascii="仿宋_GB2312" w:eastAsia="仿宋_GB2312" w:hAnsi="仿宋"/>
          <w:sz w:val="32"/>
          <w:szCs w:val="32"/>
        </w:rPr>
        <w:t>产生深远影响</w:t>
      </w:r>
      <w:r w:rsidR="00A33DE4" w:rsidRPr="009427A8">
        <w:rPr>
          <w:rFonts w:ascii="仿宋_GB2312" w:eastAsia="仿宋_GB2312" w:hAnsi="仿宋" w:hint="eastAsia"/>
          <w:sz w:val="32"/>
          <w:szCs w:val="32"/>
        </w:rPr>
        <w:t>；</w:t>
      </w:r>
      <w:r w:rsidR="00A33DE4" w:rsidRPr="009427A8">
        <w:rPr>
          <w:rFonts w:ascii="仿宋_GB2312" w:eastAsia="仿宋_GB2312" w:hAnsi="仿宋"/>
          <w:sz w:val="32"/>
          <w:szCs w:val="32"/>
        </w:rPr>
        <w:t>与此同时，资本市场</w:t>
      </w:r>
      <w:r w:rsidR="00A33DE4" w:rsidRPr="009427A8">
        <w:rPr>
          <w:rFonts w:ascii="仿宋_GB2312" w:eastAsia="仿宋_GB2312" w:hAnsi="仿宋"/>
          <w:sz w:val="32"/>
          <w:szCs w:val="32"/>
        </w:rPr>
        <w:t>“</w:t>
      </w:r>
      <w:r w:rsidR="00A33DE4" w:rsidRPr="009427A8">
        <w:rPr>
          <w:rFonts w:ascii="仿宋_GB2312" w:eastAsia="仿宋_GB2312" w:hAnsi="仿宋"/>
          <w:sz w:val="32"/>
          <w:szCs w:val="32"/>
        </w:rPr>
        <w:t>国九条</w:t>
      </w:r>
      <w:r w:rsidR="00A33DE4" w:rsidRPr="009427A8">
        <w:rPr>
          <w:rFonts w:ascii="仿宋_GB2312" w:eastAsia="仿宋_GB2312" w:hAnsi="仿宋"/>
          <w:sz w:val="32"/>
          <w:szCs w:val="32"/>
        </w:rPr>
        <w:t>”</w:t>
      </w:r>
      <w:r w:rsidR="00A33DE4" w:rsidRPr="009427A8">
        <w:rPr>
          <w:rFonts w:ascii="仿宋_GB2312" w:eastAsia="仿宋_GB2312" w:hAnsi="仿宋"/>
          <w:sz w:val="32"/>
          <w:szCs w:val="32"/>
        </w:rPr>
        <w:t>新政</w:t>
      </w:r>
      <w:r w:rsidR="00A33DE4" w:rsidRPr="009427A8">
        <w:rPr>
          <w:rFonts w:ascii="仿宋_GB2312" w:eastAsia="仿宋_GB2312" w:hAnsi="仿宋" w:hint="eastAsia"/>
          <w:sz w:val="32"/>
          <w:szCs w:val="32"/>
        </w:rPr>
        <w:t>发布</w:t>
      </w:r>
      <w:r w:rsidR="00A33DE4" w:rsidRPr="009427A8">
        <w:rPr>
          <w:rFonts w:ascii="仿宋_GB2312" w:eastAsia="仿宋_GB2312" w:hAnsi="仿宋"/>
          <w:sz w:val="32"/>
          <w:szCs w:val="32"/>
        </w:rPr>
        <w:t>，</w:t>
      </w:r>
      <w:r w:rsidR="00A33DE4" w:rsidRPr="009427A8">
        <w:rPr>
          <w:rFonts w:ascii="仿宋_GB2312" w:eastAsia="仿宋_GB2312" w:hAnsi="仿宋" w:hint="eastAsia"/>
          <w:sz w:val="32"/>
          <w:szCs w:val="32"/>
        </w:rPr>
        <w:t>上市公司限售股</w:t>
      </w:r>
      <w:r w:rsidR="00A33DE4" w:rsidRPr="009427A8">
        <w:rPr>
          <w:rFonts w:ascii="仿宋_GB2312" w:eastAsia="仿宋_GB2312" w:hAnsi="仿宋"/>
          <w:sz w:val="32"/>
          <w:szCs w:val="32"/>
        </w:rPr>
        <w:t>减持</w:t>
      </w:r>
      <w:r w:rsidR="00A33DE4" w:rsidRPr="009427A8">
        <w:rPr>
          <w:rFonts w:ascii="仿宋_GB2312" w:eastAsia="仿宋_GB2312" w:hAnsi="仿宋" w:hint="eastAsia"/>
          <w:sz w:val="32"/>
          <w:szCs w:val="32"/>
        </w:rPr>
        <w:t>新</w:t>
      </w:r>
      <w:proofErr w:type="gramStart"/>
      <w:r w:rsidR="00A33DE4" w:rsidRPr="009427A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A33DE4" w:rsidRPr="009427A8">
        <w:rPr>
          <w:rFonts w:ascii="仿宋_GB2312" w:eastAsia="仿宋_GB2312" w:hAnsi="仿宋" w:hint="eastAsia"/>
          <w:sz w:val="32"/>
          <w:szCs w:val="32"/>
        </w:rPr>
        <w:t>实施</w:t>
      </w:r>
      <w:r w:rsidR="00A33DE4" w:rsidRPr="009427A8">
        <w:rPr>
          <w:rFonts w:ascii="仿宋_GB2312" w:eastAsia="仿宋_GB2312" w:hAnsi="仿宋"/>
          <w:sz w:val="32"/>
          <w:szCs w:val="32"/>
        </w:rPr>
        <w:t>，合伙企业持股平台</w:t>
      </w:r>
      <w:r w:rsidR="00A33DE4" w:rsidRPr="009427A8">
        <w:rPr>
          <w:rFonts w:ascii="仿宋_GB2312" w:eastAsia="仿宋_GB2312" w:hAnsi="仿宋" w:hint="eastAsia"/>
          <w:sz w:val="32"/>
          <w:szCs w:val="32"/>
        </w:rPr>
        <w:t>取消核定</w:t>
      </w:r>
      <w:r w:rsidR="00A33DE4" w:rsidRPr="009427A8">
        <w:rPr>
          <w:rFonts w:ascii="仿宋_GB2312" w:eastAsia="仿宋_GB2312" w:hAnsi="仿宋"/>
          <w:sz w:val="32"/>
          <w:szCs w:val="32"/>
        </w:rPr>
        <w:t>，股权交易税务稽查全面推开</w:t>
      </w:r>
      <w:r w:rsidR="00A33DE4" w:rsidRPr="009427A8">
        <w:rPr>
          <w:rFonts w:ascii="仿宋_GB2312" w:eastAsia="仿宋_GB2312" w:hAnsi="仿宋" w:hint="eastAsia"/>
          <w:sz w:val="32"/>
          <w:szCs w:val="32"/>
        </w:rPr>
        <w:t>。</w:t>
      </w:r>
      <w:r w:rsidR="00803999" w:rsidRPr="009427A8">
        <w:rPr>
          <w:rFonts w:ascii="仿宋_GB2312" w:eastAsia="仿宋_GB2312" w:hAnsi="仿宋" w:hint="eastAsia"/>
          <w:sz w:val="32"/>
          <w:szCs w:val="32"/>
        </w:rPr>
        <w:t>考虑到税收知识的专业性和复杂性，以及税收政策因经济形势变化而不断更新变化，加上金税四期智慧税务的加速推进，税收征管水平不断提升，“双高人群”的税收风险进一步凸显。</w:t>
      </w:r>
    </w:p>
    <w:p w14:paraId="066B00FB" w14:textId="475F031D" w:rsidR="00803999" w:rsidRPr="009427A8" w:rsidRDefault="00803999" w:rsidP="009427A8">
      <w:pPr>
        <w:pStyle w:val="a9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427A8">
        <w:rPr>
          <w:rFonts w:ascii="仿宋_GB2312" w:eastAsia="仿宋_GB2312" w:hAnsi="仿宋" w:hint="eastAsia"/>
          <w:sz w:val="32"/>
          <w:szCs w:val="32"/>
        </w:rPr>
        <w:t>上海国家会计学院依托专业的师资团队和多年的培训经验，</w:t>
      </w:r>
      <w:r w:rsidR="009427A8">
        <w:rPr>
          <w:rFonts w:ascii="仿宋_GB2312" w:eastAsia="仿宋_GB2312" w:hAnsi="仿宋" w:hint="eastAsia"/>
          <w:sz w:val="32"/>
          <w:szCs w:val="32"/>
        </w:rPr>
        <w:t>持续优化</w:t>
      </w:r>
      <w:r w:rsidRPr="009427A8">
        <w:rPr>
          <w:rFonts w:ascii="仿宋_GB2312" w:eastAsia="仿宋_GB2312" w:hAnsi="仿宋" w:hint="eastAsia"/>
          <w:sz w:val="32"/>
          <w:szCs w:val="32"/>
        </w:rPr>
        <w:t>“</w:t>
      </w:r>
      <w:r w:rsidR="0016361D" w:rsidRPr="0016361D">
        <w:rPr>
          <w:rFonts w:ascii="仿宋_GB2312" w:eastAsia="仿宋_GB2312" w:hAnsi="仿宋" w:hint="eastAsia"/>
          <w:sz w:val="32"/>
          <w:szCs w:val="32"/>
        </w:rPr>
        <w:t>高收入高净值人群及相关人士的税收风险与防范</w:t>
      </w:r>
      <w:r w:rsidRPr="009427A8">
        <w:rPr>
          <w:rFonts w:ascii="仿宋_GB2312" w:eastAsia="仿宋_GB2312" w:hAnsi="仿宋" w:hint="eastAsia"/>
          <w:sz w:val="32"/>
          <w:szCs w:val="32"/>
        </w:rPr>
        <w:t>”研修课程。课程特邀有着多年教学</w:t>
      </w:r>
      <w:r w:rsidR="009427A8">
        <w:rPr>
          <w:rFonts w:ascii="仿宋_GB2312" w:eastAsia="仿宋_GB2312" w:hAnsi="仿宋" w:hint="eastAsia"/>
          <w:sz w:val="32"/>
          <w:szCs w:val="32"/>
        </w:rPr>
        <w:t>实务</w:t>
      </w:r>
      <w:r w:rsidRPr="009427A8">
        <w:rPr>
          <w:rFonts w:ascii="仿宋_GB2312" w:eastAsia="仿宋_GB2312" w:hAnsi="仿宋" w:hint="eastAsia"/>
          <w:sz w:val="32"/>
          <w:szCs w:val="32"/>
        </w:rPr>
        <w:t>经验的教授讲授，聚焦“双高人群”的税收风险与防范，从政策背景到征管实践层层递进，结合直播带货、股权转让等实际案例深入剖析“双高人群”常见的税收风险，帮助“双高人群”提升税收风险意识，做好税务规划，把握合</w:t>
      </w:r>
      <w:proofErr w:type="gramStart"/>
      <w:r w:rsidRPr="009427A8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9427A8">
        <w:rPr>
          <w:rFonts w:ascii="仿宋_GB2312" w:eastAsia="仿宋_GB2312" w:hAnsi="仿宋" w:hint="eastAsia"/>
          <w:sz w:val="32"/>
          <w:szCs w:val="32"/>
        </w:rPr>
        <w:t>收益。</w:t>
      </w:r>
    </w:p>
    <w:p w14:paraId="2D3F74B5" w14:textId="7117570F" w:rsidR="00493FEC" w:rsidRPr="009427A8" w:rsidRDefault="00493FEC" w:rsidP="009427A8">
      <w:pPr>
        <w:pStyle w:val="a9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427A8">
        <w:rPr>
          <w:rFonts w:ascii="仿宋_GB2312" w:eastAsia="仿宋_GB2312" w:hAnsi="仿宋" w:hint="eastAsia"/>
          <w:sz w:val="32"/>
          <w:szCs w:val="32"/>
        </w:rPr>
        <w:t>附件：一、课程简介</w:t>
      </w:r>
    </w:p>
    <w:p w14:paraId="246F9032" w14:textId="6AA96411" w:rsidR="00E17261" w:rsidRPr="009427A8" w:rsidRDefault="00E17261" w:rsidP="009427A8">
      <w:pPr>
        <w:pStyle w:val="a9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427A8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427A8">
        <w:rPr>
          <w:rFonts w:ascii="仿宋_GB2312" w:eastAsia="仿宋_GB2312" w:hAnsi="仿宋"/>
          <w:sz w:val="32"/>
          <w:szCs w:val="32"/>
        </w:rPr>
        <w:t xml:space="preserve">     </w:t>
      </w:r>
      <w:r w:rsidRPr="009427A8">
        <w:rPr>
          <w:rFonts w:ascii="仿宋_GB2312" w:eastAsia="仿宋_GB2312" w:hAnsi="仿宋" w:hint="eastAsia"/>
          <w:sz w:val="32"/>
          <w:szCs w:val="32"/>
        </w:rPr>
        <w:t>二、报名表</w:t>
      </w:r>
    </w:p>
    <w:p w14:paraId="766D1233" w14:textId="77777777" w:rsidR="00493FEC" w:rsidRPr="009427A8" w:rsidRDefault="00493FEC" w:rsidP="009427A8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14:paraId="72F321FC" w14:textId="02D14BF3" w:rsidR="00493FEC" w:rsidRPr="009427A8" w:rsidRDefault="0027611C" w:rsidP="0027611C">
      <w:pPr>
        <w:spacing w:line="360" w:lineRule="auto"/>
        <w:jc w:val="right"/>
        <w:rPr>
          <w:rFonts w:ascii="仿宋_GB2312" w:eastAsia="仿宋_GB2312" w:hAnsi="仿宋" w:hint="eastAsia"/>
          <w:sz w:val="32"/>
          <w:szCs w:val="32"/>
        </w:rPr>
      </w:pPr>
      <w:r w:rsidRPr="009427A8">
        <w:rPr>
          <w:rFonts w:ascii="仿宋_GB2312" w:eastAsia="仿宋_GB2312" w:hAnsi="仿宋" w:hint="eastAsia"/>
          <w:sz w:val="32"/>
          <w:szCs w:val="32"/>
        </w:rPr>
        <w:lastRenderedPageBreak/>
        <w:t xml:space="preserve"> </w:t>
      </w:r>
      <w:r w:rsidR="00493FEC" w:rsidRPr="009427A8">
        <w:rPr>
          <w:rFonts w:ascii="仿宋_GB2312" w:eastAsia="仿宋_GB2312" w:hAnsi="仿宋" w:hint="eastAsia"/>
          <w:sz w:val="32"/>
          <w:szCs w:val="32"/>
        </w:rPr>
        <w:t>上海国家会计学院</w:t>
      </w:r>
    </w:p>
    <w:p w14:paraId="029C14D8" w14:textId="384C8A67" w:rsidR="00BB4B4E" w:rsidRPr="009427A8" w:rsidRDefault="00493FEC" w:rsidP="00C958F1">
      <w:pPr>
        <w:spacing w:line="360" w:lineRule="auto"/>
        <w:ind w:firstLineChars="1800" w:firstLine="5760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 w:rsidRPr="009427A8">
        <w:rPr>
          <w:rFonts w:ascii="仿宋_GB2312" w:eastAsia="仿宋_GB2312" w:hAnsi="仿宋" w:hint="eastAsia"/>
          <w:sz w:val="32"/>
          <w:szCs w:val="32"/>
        </w:rPr>
        <w:t>202</w:t>
      </w:r>
      <w:r w:rsidR="009427A8">
        <w:rPr>
          <w:rFonts w:ascii="仿宋_GB2312" w:eastAsia="仿宋_GB2312" w:hAnsi="仿宋" w:hint="eastAsia"/>
          <w:sz w:val="32"/>
          <w:szCs w:val="32"/>
        </w:rPr>
        <w:t>5</w:t>
      </w:r>
      <w:r w:rsidRPr="009427A8">
        <w:rPr>
          <w:rFonts w:ascii="仿宋_GB2312" w:eastAsia="仿宋_GB2312" w:hAnsi="仿宋" w:hint="eastAsia"/>
          <w:sz w:val="32"/>
          <w:szCs w:val="32"/>
        </w:rPr>
        <w:t>年</w:t>
      </w:r>
      <w:r w:rsidR="00C260FB" w:rsidRPr="009427A8">
        <w:rPr>
          <w:rFonts w:ascii="仿宋_GB2312" w:eastAsia="仿宋_GB2312" w:hAnsi="仿宋" w:hint="eastAsia"/>
          <w:sz w:val="32"/>
          <w:szCs w:val="32"/>
        </w:rPr>
        <w:t>1</w:t>
      </w:r>
      <w:r w:rsidRPr="009427A8">
        <w:rPr>
          <w:rFonts w:ascii="仿宋_GB2312" w:eastAsia="仿宋_GB2312" w:hAnsi="仿宋" w:hint="eastAsia"/>
          <w:sz w:val="32"/>
          <w:szCs w:val="32"/>
        </w:rPr>
        <w:t>月</w:t>
      </w:r>
    </w:p>
    <w:p w14:paraId="319A42F8" w14:textId="77777777" w:rsidR="009427A8" w:rsidRDefault="009427A8" w:rsidP="00493FEC">
      <w:pPr>
        <w:spacing w:line="360" w:lineRule="auto"/>
        <w:rPr>
          <w:rFonts w:ascii="仿宋_GB2312" w:eastAsia="仿宋_GB2312" w:hAnsi="宋体" w:cs="微软雅黑" w:hint="eastAsia"/>
          <w:b/>
          <w:bCs/>
          <w:kern w:val="0"/>
          <w:sz w:val="32"/>
          <w:szCs w:val="32"/>
        </w:rPr>
      </w:pPr>
    </w:p>
    <w:p w14:paraId="50C09238" w14:textId="6C20639C" w:rsidR="00493FEC" w:rsidRPr="009427A8" w:rsidRDefault="00493FEC" w:rsidP="00493FEC">
      <w:pPr>
        <w:spacing w:line="360" w:lineRule="auto"/>
        <w:rPr>
          <w:rFonts w:ascii="仿宋_GB2312" w:eastAsia="仿宋_GB2312" w:hAnsi="宋体" w:cs="微软雅黑" w:hint="eastAsia"/>
          <w:b/>
          <w:bCs/>
          <w:kern w:val="0"/>
          <w:sz w:val="32"/>
          <w:szCs w:val="32"/>
        </w:rPr>
      </w:pPr>
      <w:r w:rsidRPr="009427A8">
        <w:rPr>
          <w:rFonts w:ascii="仿宋_GB2312" w:eastAsia="仿宋_GB2312" w:hAnsi="宋体" w:cs="微软雅黑" w:hint="eastAsia"/>
          <w:b/>
          <w:bCs/>
          <w:kern w:val="0"/>
          <w:sz w:val="32"/>
          <w:szCs w:val="32"/>
        </w:rPr>
        <w:t>附件一：课程简介</w:t>
      </w:r>
    </w:p>
    <w:p w14:paraId="52AEC7D2" w14:textId="77777777" w:rsidR="00F31C28" w:rsidRPr="009427A8" w:rsidRDefault="00F31C28" w:rsidP="00F31C28">
      <w:pPr>
        <w:pStyle w:val="aa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Theme="minorEastAsia" w:hint="eastAsia"/>
          <w:b/>
          <w:color w:val="000000"/>
          <w:sz w:val="32"/>
          <w:szCs w:val="32"/>
        </w:rPr>
      </w:pPr>
      <w:r w:rsidRPr="009427A8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培训安排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3685"/>
      </w:tblGrid>
      <w:tr w:rsidR="00F31C28" w:rsidRPr="009427A8" w14:paraId="6C8E1FBE" w14:textId="77777777" w:rsidTr="009427A8">
        <w:trPr>
          <w:jc w:val="center"/>
        </w:trPr>
        <w:tc>
          <w:tcPr>
            <w:tcW w:w="1555" w:type="dxa"/>
          </w:tcPr>
          <w:p w14:paraId="1634A380" w14:textId="77777777" w:rsidR="00F31C28" w:rsidRPr="009427A8" w:rsidRDefault="00F31C28" w:rsidP="00CA4AA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bookmarkStart w:id="1" w:name="_Hlk152762152"/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期数</w:t>
            </w:r>
          </w:p>
        </w:tc>
        <w:tc>
          <w:tcPr>
            <w:tcW w:w="2551" w:type="dxa"/>
          </w:tcPr>
          <w:p w14:paraId="7C7121AA" w14:textId="77777777" w:rsidR="00F31C28" w:rsidRPr="009427A8" w:rsidRDefault="00F31C28" w:rsidP="00CA4AA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1843" w:type="dxa"/>
          </w:tcPr>
          <w:p w14:paraId="1B25717E" w14:textId="77777777" w:rsidR="00F31C28" w:rsidRPr="009427A8" w:rsidRDefault="00F31C28" w:rsidP="00CA4AA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3685" w:type="dxa"/>
          </w:tcPr>
          <w:p w14:paraId="067FB6A2" w14:textId="77777777" w:rsidR="00F31C28" w:rsidRPr="009427A8" w:rsidRDefault="00F31C28" w:rsidP="00CA4AA7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E140DC" w:rsidRPr="009427A8" w14:paraId="16B65AB7" w14:textId="77777777" w:rsidTr="009427A8">
        <w:trPr>
          <w:jc w:val="center"/>
        </w:trPr>
        <w:tc>
          <w:tcPr>
            <w:tcW w:w="1555" w:type="dxa"/>
          </w:tcPr>
          <w:p w14:paraId="2364B363" w14:textId="688947F4" w:rsidR="00E140DC" w:rsidRPr="009427A8" w:rsidRDefault="00E140DC" w:rsidP="00E140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第一期</w:t>
            </w:r>
          </w:p>
        </w:tc>
        <w:tc>
          <w:tcPr>
            <w:tcW w:w="2551" w:type="dxa"/>
          </w:tcPr>
          <w:p w14:paraId="69429E13" w14:textId="03155258" w:rsidR="00E140DC" w:rsidRPr="009427A8" w:rsidRDefault="00B930DB" w:rsidP="00E140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 w:rsidR="00E140DC" w:rsidRPr="009427A8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="00E140DC" w:rsidRPr="009427A8">
              <w:rPr>
                <w:rFonts w:ascii="仿宋_GB2312" w:eastAsia="仿宋_GB2312" w:hAnsi="宋体"/>
                <w:sz w:val="32"/>
                <w:szCs w:val="32"/>
              </w:rPr>
              <w:t>2</w:t>
            </w: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  <w:r w:rsidR="009427A8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 w:rsidR="00E140DC" w:rsidRPr="009427A8">
              <w:rPr>
                <w:rFonts w:ascii="仿宋_GB2312" w:eastAsia="仿宋_GB2312" w:hAnsi="宋体" w:hint="eastAsia"/>
                <w:sz w:val="32"/>
                <w:szCs w:val="32"/>
              </w:rPr>
              <w:t>-</w:t>
            </w:r>
            <w:r w:rsidR="00E140DC" w:rsidRPr="009427A8">
              <w:rPr>
                <w:rFonts w:ascii="仿宋_GB2312" w:eastAsia="仿宋_GB2312" w:hAnsi="宋体"/>
                <w:sz w:val="32"/>
                <w:szCs w:val="32"/>
              </w:rPr>
              <w:t>2</w:t>
            </w: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 w:rsidR="00E140DC" w:rsidRPr="009427A8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843" w:type="dxa"/>
          </w:tcPr>
          <w:p w14:paraId="3BB73930" w14:textId="743069F5" w:rsidR="00E140DC" w:rsidRPr="009427A8" w:rsidRDefault="00E140DC" w:rsidP="00E140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/>
                <w:sz w:val="32"/>
                <w:szCs w:val="32"/>
              </w:rPr>
              <w:t>2</w:t>
            </w:r>
            <w:r w:rsidR="00B930DB" w:rsidRPr="009427A8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685" w:type="dxa"/>
          </w:tcPr>
          <w:p w14:paraId="7F19AAB2" w14:textId="06AE2572" w:rsidR="00E140DC" w:rsidRPr="009427A8" w:rsidRDefault="00E140DC" w:rsidP="00E140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  <w:tr w:rsidR="00E140DC" w:rsidRPr="009427A8" w14:paraId="3A04CAB7" w14:textId="77777777" w:rsidTr="009427A8">
        <w:trPr>
          <w:jc w:val="center"/>
        </w:trPr>
        <w:tc>
          <w:tcPr>
            <w:tcW w:w="1555" w:type="dxa"/>
          </w:tcPr>
          <w:p w14:paraId="57AAD55A" w14:textId="199EF083" w:rsidR="00E140DC" w:rsidRPr="009427A8" w:rsidRDefault="00E140DC" w:rsidP="00E140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第二期</w:t>
            </w:r>
          </w:p>
        </w:tc>
        <w:tc>
          <w:tcPr>
            <w:tcW w:w="2551" w:type="dxa"/>
          </w:tcPr>
          <w:p w14:paraId="4FC7BDFA" w14:textId="09BEEC29" w:rsidR="00E140DC" w:rsidRPr="009427A8" w:rsidRDefault="00B930DB" w:rsidP="00E140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 w:rsidR="00E140DC" w:rsidRPr="009427A8">
              <w:rPr>
                <w:rFonts w:ascii="仿宋_GB2312" w:eastAsia="仿宋_GB2312" w:hAnsi="宋体" w:hint="eastAsia"/>
                <w:sz w:val="32"/>
                <w:szCs w:val="32"/>
              </w:rPr>
              <w:t>月2</w:t>
            </w: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  <w:r w:rsidR="009427A8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 w:rsidR="00E140DC" w:rsidRPr="009427A8">
              <w:rPr>
                <w:rFonts w:ascii="仿宋_GB2312" w:eastAsia="仿宋_GB2312" w:hAnsi="宋体"/>
                <w:sz w:val="32"/>
                <w:szCs w:val="32"/>
              </w:rPr>
              <w:t>-</w:t>
            </w: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31</w:t>
            </w:r>
            <w:r w:rsidR="00E140DC" w:rsidRPr="009427A8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843" w:type="dxa"/>
          </w:tcPr>
          <w:p w14:paraId="3CD00952" w14:textId="263B464B" w:rsidR="00E140DC" w:rsidRPr="009427A8" w:rsidRDefault="00E140DC" w:rsidP="00E140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="00B930DB" w:rsidRPr="009427A8">
              <w:rPr>
                <w:rFonts w:ascii="仿宋_GB2312" w:eastAsia="仿宋_GB2312" w:hAnsi="宋体"/>
                <w:sz w:val="32"/>
                <w:szCs w:val="32"/>
              </w:rPr>
              <w:t>8日</w:t>
            </w:r>
          </w:p>
        </w:tc>
        <w:tc>
          <w:tcPr>
            <w:tcW w:w="3685" w:type="dxa"/>
          </w:tcPr>
          <w:p w14:paraId="14025F0A" w14:textId="28CBE837" w:rsidR="00E140DC" w:rsidRPr="009427A8" w:rsidRDefault="00E140DC" w:rsidP="00E140D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427A8"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</w:tbl>
    <w:bookmarkEnd w:id="1"/>
    <w:p w14:paraId="3F42826E" w14:textId="77777777" w:rsidR="00803999" w:rsidRPr="009427A8" w:rsidRDefault="00803999" w:rsidP="00803999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9427A8">
        <w:rPr>
          <w:rFonts w:ascii="仿宋_GB2312" w:eastAsia="仿宋_GB2312" w:hAnsi="宋体" w:hint="eastAsia"/>
          <w:b/>
          <w:bCs/>
          <w:sz w:val="32"/>
          <w:szCs w:val="32"/>
        </w:rPr>
        <w:t>二、课程目标</w:t>
      </w:r>
    </w:p>
    <w:p w14:paraId="75928468" w14:textId="0589DF06" w:rsidR="00803999" w:rsidRPr="009427A8" w:rsidRDefault="00803999" w:rsidP="0080399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t>1.</w:t>
      </w:r>
      <w:r w:rsidRPr="009427A8">
        <w:rPr>
          <w:rFonts w:ascii="仿宋_GB2312" w:eastAsia="仿宋_GB2312" w:hAnsi="宋体" w:hint="eastAsia"/>
          <w:sz w:val="32"/>
          <w:szCs w:val="32"/>
        </w:rPr>
        <w:t>了解“双高人群”相关税收政策与征管要求</w:t>
      </w:r>
      <w:r w:rsidR="00CB67F2">
        <w:rPr>
          <w:rFonts w:ascii="仿宋_GB2312" w:eastAsia="仿宋_GB2312" w:hAnsi="宋体" w:hint="eastAsia"/>
          <w:sz w:val="32"/>
          <w:szCs w:val="32"/>
        </w:rPr>
        <w:t>；</w:t>
      </w:r>
    </w:p>
    <w:p w14:paraId="10EE90CE" w14:textId="153D8E46" w:rsidR="00803999" w:rsidRPr="009427A8" w:rsidRDefault="00803999" w:rsidP="0080399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t>2.</w:t>
      </w:r>
      <w:r w:rsidRPr="009427A8">
        <w:rPr>
          <w:rFonts w:ascii="仿宋_GB2312" w:eastAsia="仿宋_GB2312" w:hAnsi="宋体" w:hint="eastAsia"/>
          <w:sz w:val="32"/>
          <w:szCs w:val="32"/>
        </w:rPr>
        <w:t>结合案例，把握</w:t>
      </w:r>
      <w:r w:rsidR="00FF1CCF" w:rsidRPr="009427A8">
        <w:rPr>
          <w:rFonts w:ascii="仿宋_GB2312" w:eastAsia="仿宋_GB2312" w:hAnsi="宋体" w:hint="eastAsia"/>
          <w:sz w:val="32"/>
          <w:szCs w:val="32"/>
        </w:rPr>
        <w:t>股东</w:t>
      </w:r>
      <w:r w:rsidR="00470806" w:rsidRPr="009427A8">
        <w:rPr>
          <w:rFonts w:ascii="仿宋_GB2312" w:eastAsia="仿宋_GB2312" w:hAnsi="宋体" w:hint="eastAsia"/>
          <w:sz w:val="32"/>
          <w:szCs w:val="32"/>
        </w:rPr>
        <w:t>（含财务投资人）</w:t>
      </w:r>
      <w:r w:rsidR="00FF1CCF" w:rsidRPr="009427A8">
        <w:rPr>
          <w:rFonts w:ascii="仿宋_GB2312" w:eastAsia="仿宋_GB2312" w:hAnsi="宋体" w:hint="eastAsia"/>
          <w:sz w:val="32"/>
          <w:szCs w:val="32"/>
        </w:rPr>
        <w:t>、高管、明星</w:t>
      </w:r>
      <w:r w:rsidRPr="009427A8">
        <w:rPr>
          <w:rFonts w:ascii="仿宋_GB2312" w:eastAsia="仿宋_GB2312" w:hAnsi="宋体" w:hint="eastAsia"/>
          <w:sz w:val="32"/>
          <w:szCs w:val="32"/>
        </w:rPr>
        <w:t>等“双高人群”和股权转让等重点领域的税收风险</w:t>
      </w:r>
      <w:r w:rsidR="00CB67F2">
        <w:rPr>
          <w:rFonts w:ascii="仿宋_GB2312" w:eastAsia="仿宋_GB2312" w:hAnsi="宋体" w:hint="eastAsia"/>
          <w:sz w:val="32"/>
          <w:szCs w:val="32"/>
        </w:rPr>
        <w:t>；</w:t>
      </w:r>
    </w:p>
    <w:p w14:paraId="2B35EE9A" w14:textId="7587C388" w:rsidR="00803999" w:rsidRPr="009427A8" w:rsidRDefault="00803999" w:rsidP="0080399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t>3.</w:t>
      </w:r>
      <w:r w:rsidRPr="009427A8">
        <w:rPr>
          <w:rFonts w:ascii="仿宋_GB2312" w:eastAsia="仿宋_GB2312" w:hAnsi="宋体" w:hint="eastAsia"/>
          <w:sz w:val="32"/>
          <w:szCs w:val="32"/>
        </w:rPr>
        <w:t>提升税收风险意识和税务合</w:t>
      </w:r>
      <w:proofErr w:type="gramStart"/>
      <w:r w:rsidRPr="009427A8">
        <w:rPr>
          <w:rFonts w:ascii="仿宋_GB2312" w:eastAsia="仿宋_GB2312" w:hAnsi="宋体" w:hint="eastAsia"/>
          <w:sz w:val="32"/>
          <w:szCs w:val="32"/>
        </w:rPr>
        <w:t>规</w:t>
      </w:r>
      <w:proofErr w:type="gramEnd"/>
      <w:r w:rsidRPr="009427A8">
        <w:rPr>
          <w:rFonts w:ascii="仿宋_GB2312" w:eastAsia="仿宋_GB2312" w:hAnsi="宋体" w:hint="eastAsia"/>
          <w:sz w:val="32"/>
          <w:szCs w:val="32"/>
        </w:rPr>
        <w:t>水平，防范税收风险</w:t>
      </w:r>
      <w:r w:rsidR="00CB67F2">
        <w:rPr>
          <w:rFonts w:ascii="仿宋_GB2312" w:eastAsia="仿宋_GB2312" w:hAnsi="宋体" w:hint="eastAsia"/>
          <w:sz w:val="32"/>
          <w:szCs w:val="32"/>
        </w:rPr>
        <w:t>。</w:t>
      </w:r>
    </w:p>
    <w:p w14:paraId="4F0F5386" w14:textId="77777777" w:rsidR="00803999" w:rsidRPr="009427A8" w:rsidRDefault="00803999" w:rsidP="00803999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9427A8">
        <w:rPr>
          <w:rFonts w:ascii="仿宋_GB2312" w:eastAsia="仿宋_GB2312" w:hAnsi="宋体" w:hint="eastAsia"/>
          <w:b/>
          <w:bCs/>
          <w:sz w:val="32"/>
          <w:szCs w:val="32"/>
        </w:rPr>
        <w:t>三、培训对象</w:t>
      </w:r>
    </w:p>
    <w:p w14:paraId="15A9E558" w14:textId="5BBE188C" w:rsidR="002D5377" w:rsidRPr="009427A8" w:rsidRDefault="002D5377" w:rsidP="00803999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企业家、</w:t>
      </w:r>
      <w:r w:rsidR="00FF1CCF" w:rsidRPr="009427A8">
        <w:rPr>
          <w:rFonts w:ascii="仿宋_GB2312" w:eastAsia="仿宋_GB2312" w:hAnsi="宋体" w:hint="eastAsia"/>
          <w:sz w:val="32"/>
          <w:szCs w:val="32"/>
        </w:rPr>
        <w:t>股东或合伙人、</w:t>
      </w:r>
      <w:r w:rsidRPr="009427A8">
        <w:rPr>
          <w:rFonts w:ascii="仿宋_GB2312" w:eastAsia="仿宋_GB2312" w:hAnsi="宋体" w:hint="eastAsia"/>
          <w:sz w:val="32"/>
          <w:szCs w:val="32"/>
        </w:rPr>
        <w:t>企业高管、各领域</w:t>
      </w:r>
      <w:r w:rsidR="00FF1CCF" w:rsidRPr="009427A8">
        <w:rPr>
          <w:rFonts w:ascii="仿宋_GB2312" w:eastAsia="仿宋_GB2312" w:hAnsi="宋体" w:hint="eastAsia"/>
          <w:sz w:val="32"/>
          <w:szCs w:val="32"/>
        </w:rPr>
        <w:t>高收入</w:t>
      </w:r>
      <w:r w:rsidRPr="009427A8">
        <w:rPr>
          <w:rFonts w:ascii="仿宋_GB2312" w:eastAsia="仿宋_GB2312" w:hAnsi="宋体" w:hint="eastAsia"/>
          <w:sz w:val="32"/>
          <w:szCs w:val="32"/>
        </w:rPr>
        <w:t>专家及明星、主播等高收入高净值人群</w:t>
      </w:r>
      <w:r w:rsidR="00C260FB" w:rsidRPr="009427A8">
        <w:rPr>
          <w:rFonts w:ascii="仿宋_GB2312" w:eastAsia="仿宋_GB2312" w:hAnsi="宋体" w:hint="eastAsia"/>
          <w:sz w:val="32"/>
          <w:szCs w:val="32"/>
        </w:rPr>
        <w:t>，以及为高收入高净值人群提供服务的会计师、律师、理财师等专业人士</w:t>
      </w:r>
      <w:r w:rsidRPr="009427A8">
        <w:rPr>
          <w:rFonts w:ascii="仿宋_GB2312" w:eastAsia="仿宋_GB2312" w:hAnsi="宋体" w:hint="eastAsia"/>
          <w:sz w:val="32"/>
          <w:szCs w:val="32"/>
        </w:rPr>
        <w:t>。</w:t>
      </w:r>
    </w:p>
    <w:p w14:paraId="2BDC886B" w14:textId="15D1334E" w:rsidR="00803999" w:rsidRPr="009427A8" w:rsidRDefault="00803999" w:rsidP="00803999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9427A8">
        <w:rPr>
          <w:rFonts w:ascii="仿宋_GB2312" w:eastAsia="仿宋_GB2312" w:hAnsi="宋体" w:hint="eastAsia"/>
          <w:b/>
          <w:bCs/>
          <w:sz w:val="32"/>
          <w:szCs w:val="32"/>
        </w:rPr>
        <w:t>四、课程内容</w:t>
      </w:r>
    </w:p>
    <w:p w14:paraId="466A3A87" w14:textId="5ACDFD51" w:rsidR="00803999" w:rsidRPr="009427A8" w:rsidRDefault="00803999" w:rsidP="00803999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9427A8">
        <w:rPr>
          <w:rFonts w:ascii="仿宋_GB2312" w:eastAsia="仿宋_GB2312" w:hAnsi="宋体"/>
          <w:b/>
          <w:sz w:val="32"/>
          <w:szCs w:val="32"/>
        </w:rPr>
        <w:t>模块</w:t>
      </w:r>
      <w:r w:rsidRPr="009427A8">
        <w:rPr>
          <w:rFonts w:ascii="仿宋_GB2312" w:eastAsia="仿宋_GB2312" w:hAnsi="宋体" w:hint="eastAsia"/>
          <w:b/>
          <w:sz w:val="32"/>
          <w:szCs w:val="32"/>
        </w:rPr>
        <w:t>一</w:t>
      </w:r>
      <w:r w:rsidRPr="009427A8">
        <w:rPr>
          <w:rFonts w:ascii="仿宋_GB2312" w:eastAsia="仿宋_GB2312" w:hAnsi="宋体"/>
          <w:b/>
          <w:sz w:val="32"/>
          <w:szCs w:val="32"/>
        </w:rPr>
        <w:t>、</w:t>
      </w:r>
      <w:r w:rsidRPr="009427A8">
        <w:rPr>
          <w:rFonts w:ascii="仿宋_GB2312" w:eastAsia="仿宋_GB2312" w:hAnsi="宋体" w:hint="eastAsia"/>
          <w:b/>
          <w:sz w:val="32"/>
          <w:szCs w:val="32"/>
        </w:rPr>
        <w:t>“双高人群”的税收问题</w:t>
      </w:r>
    </w:p>
    <w:p w14:paraId="745415B8" w14:textId="7B80C127" w:rsidR="00803999" w:rsidRPr="009427A8" w:rsidRDefault="00A86CB3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（一）</w:t>
      </w:r>
      <w:r w:rsidR="00803999" w:rsidRPr="009427A8">
        <w:rPr>
          <w:rFonts w:ascii="仿宋_GB2312" w:eastAsia="仿宋_GB2312" w:hAnsi="宋体" w:hint="eastAsia"/>
          <w:sz w:val="32"/>
          <w:szCs w:val="32"/>
        </w:rPr>
        <w:t>加强“双高人群”税收征管的背景</w:t>
      </w:r>
    </w:p>
    <w:p w14:paraId="58D23B63" w14:textId="035D6991" w:rsidR="00803999" w:rsidRPr="009427A8" w:rsidRDefault="00A86CB3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（二）</w:t>
      </w:r>
      <w:r w:rsidR="00803999" w:rsidRPr="009427A8">
        <w:rPr>
          <w:rFonts w:ascii="仿宋_GB2312" w:eastAsia="仿宋_GB2312" w:hAnsi="宋体" w:hint="eastAsia"/>
          <w:sz w:val="32"/>
          <w:szCs w:val="32"/>
        </w:rPr>
        <w:t>加强“双高人群”税收征管的政策与实践</w:t>
      </w:r>
    </w:p>
    <w:p w14:paraId="143D356F" w14:textId="5F8AD13F" w:rsidR="00803999" w:rsidRPr="009427A8" w:rsidRDefault="00A86CB3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（三）</w:t>
      </w:r>
      <w:r w:rsidR="00803999" w:rsidRPr="009427A8">
        <w:rPr>
          <w:rFonts w:ascii="仿宋_GB2312" w:eastAsia="仿宋_GB2312" w:hAnsi="宋体" w:hint="eastAsia"/>
          <w:sz w:val="32"/>
          <w:szCs w:val="32"/>
        </w:rPr>
        <w:t>“双高人群”常见的税收风险</w:t>
      </w:r>
    </w:p>
    <w:p w14:paraId="0B37AF74" w14:textId="77777777" w:rsidR="00803999" w:rsidRPr="009427A8" w:rsidRDefault="00803999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lastRenderedPageBreak/>
        <w:t>1.野蛮复制的</w:t>
      </w:r>
      <w:r w:rsidRPr="009427A8">
        <w:rPr>
          <w:rFonts w:ascii="仿宋_GB2312" w:eastAsia="仿宋_GB2312" w:hAnsi="宋体"/>
          <w:sz w:val="32"/>
          <w:szCs w:val="32"/>
        </w:rPr>
        <w:t>“</w:t>
      </w:r>
      <w:r w:rsidRPr="009427A8">
        <w:rPr>
          <w:rFonts w:ascii="仿宋_GB2312" w:eastAsia="仿宋_GB2312" w:hAnsi="宋体"/>
          <w:sz w:val="32"/>
          <w:szCs w:val="32"/>
        </w:rPr>
        <w:t>核定征收+税收洼地</w:t>
      </w:r>
      <w:r w:rsidRPr="009427A8">
        <w:rPr>
          <w:rFonts w:ascii="仿宋_GB2312" w:eastAsia="仿宋_GB2312" w:hAnsi="宋体"/>
          <w:sz w:val="32"/>
          <w:szCs w:val="32"/>
        </w:rPr>
        <w:t>”</w:t>
      </w:r>
      <w:r w:rsidRPr="009427A8">
        <w:rPr>
          <w:rFonts w:ascii="仿宋_GB2312" w:eastAsia="仿宋_GB2312" w:hAnsi="宋体"/>
          <w:sz w:val="32"/>
          <w:szCs w:val="32"/>
        </w:rPr>
        <w:t>税收风险</w:t>
      </w:r>
    </w:p>
    <w:p w14:paraId="7252BD98" w14:textId="77777777" w:rsidR="00803999" w:rsidRPr="009427A8" w:rsidRDefault="00803999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t>2.瞒天过海的</w:t>
      </w:r>
      <w:r w:rsidRPr="009427A8">
        <w:rPr>
          <w:rFonts w:ascii="仿宋_GB2312" w:eastAsia="仿宋_GB2312" w:hAnsi="宋体"/>
          <w:sz w:val="32"/>
          <w:szCs w:val="32"/>
        </w:rPr>
        <w:t>“</w:t>
      </w:r>
      <w:r w:rsidRPr="009427A8">
        <w:rPr>
          <w:rFonts w:ascii="仿宋_GB2312" w:eastAsia="仿宋_GB2312" w:hAnsi="宋体"/>
          <w:sz w:val="32"/>
          <w:szCs w:val="32"/>
        </w:rPr>
        <w:t>阴阳合同</w:t>
      </w:r>
      <w:r w:rsidRPr="009427A8">
        <w:rPr>
          <w:rFonts w:ascii="仿宋_GB2312" w:eastAsia="仿宋_GB2312" w:hAnsi="宋体"/>
          <w:sz w:val="32"/>
          <w:szCs w:val="32"/>
        </w:rPr>
        <w:t>”</w:t>
      </w:r>
      <w:r w:rsidRPr="009427A8">
        <w:rPr>
          <w:rFonts w:ascii="仿宋_GB2312" w:eastAsia="仿宋_GB2312" w:hAnsi="宋体"/>
          <w:sz w:val="32"/>
          <w:szCs w:val="32"/>
        </w:rPr>
        <w:t>税收风险</w:t>
      </w:r>
    </w:p>
    <w:p w14:paraId="6B4062DB" w14:textId="6D64D63B" w:rsidR="00803999" w:rsidRPr="009427A8" w:rsidRDefault="00803999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t>3.遍布争议的股权税收风险</w:t>
      </w:r>
    </w:p>
    <w:p w14:paraId="201D6877" w14:textId="77777777" w:rsidR="00803999" w:rsidRPr="009427A8" w:rsidRDefault="00803999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t>4.利用企业掩护的税收风险</w:t>
      </w:r>
    </w:p>
    <w:p w14:paraId="233D6F47" w14:textId="77777777" w:rsidR="00803999" w:rsidRPr="009427A8" w:rsidRDefault="00803999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t>5.房叔房姐房祖宗的房产税收风险</w:t>
      </w:r>
    </w:p>
    <w:p w14:paraId="06E2CCAA" w14:textId="77777777" w:rsidR="00803999" w:rsidRPr="009427A8" w:rsidRDefault="00803999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t>6.国际化高端人士的税收风险</w:t>
      </w:r>
    </w:p>
    <w:p w14:paraId="45D24F61" w14:textId="77777777" w:rsidR="00803999" w:rsidRPr="009427A8" w:rsidRDefault="00803999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/>
          <w:sz w:val="32"/>
          <w:szCs w:val="32"/>
        </w:rPr>
        <w:t>7.家族财富传承的税收风险</w:t>
      </w:r>
    </w:p>
    <w:p w14:paraId="1B741C21" w14:textId="3356BE80" w:rsidR="000B1278" w:rsidRPr="009427A8" w:rsidRDefault="000B1278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（四）“两高”《关于办理危害税收征管刑事案件适用法律若干问题的解释》要点</w:t>
      </w:r>
    </w:p>
    <w:p w14:paraId="303C09DE" w14:textId="7B2AA5E2" w:rsidR="00803999" w:rsidRPr="009427A8" w:rsidRDefault="00A86CB3" w:rsidP="00C958F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（</w:t>
      </w:r>
      <w:r w:rsidR="000B1278" w:rsidRPr="009427A8">
        <w:rPr>
          <w:rFonts w:ascii="仿宋_GB2312" w:eastAsia="仿宋_GB2312" w:hAnsi="宋体" w:hint="eastAsia"/>
          <w:sz w:val="32"/>
          <w:szCs w:val="32"/>
        </w:rPr>
        <w:t>五</w:t>
      </w:r>
      <w:r w:rsidRPr="009427A8">
        <w:rPr>
          <w:rFonts w:ascii="仿宋_GB2312" w:eastAsia="仿宋_GB2312" w:hAnsi="宋体" w:hint="eastAsia"/>
          <w:sz w:val="32"/>
          <w:szCs w:val="32"/>
        </w:rPr>
        <w:t>）</w:t>
      </w:r>
      <w:r w:rsidR="00803999" w:rsidRPr="009427A8">
        <w:rPr>
          <w:rFonts w:ascii="仿宋_GB2312" w:eastAsia="仿宋_GB2312" w:hAnsi="宋体" w:hint="eastAsia"/>
          <w:sz w:val="32"/>
          <w:szCs w:val="32"/>
        </w:rPr>
        <w:t>应对与建议</w:t>
      </w:r>
    </w:p>
    <w:p w14:paraId="417E38F1" w14:textId="6CE55A22" w:rsidR="00803999" w:rsidRPr="009427A8" w:rsidRDefault="00803999" w:rsidP="00803999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9427A8">
        <w:rPr>
          <w:rFonts w:ascii="仿宋_GB2312" w:eastAsia="仿宋_GB2312" w:hAnsi="宋体" w:hint="eastAsia"/>
          <w:b/>
          <w:sz w:val="32"/>
          <w:szCs w:val="32"/>
        </w:rPr>
        <w:t>模块</w:t>
      </w:r>
      <w:r w:rsidR="001156DF" w:rsidRPr="009427A8"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9427A8">
        <w:rPr>
          <w:rFonts w:ascii="仿宋_GB2312" w:eastAsia="仿宋_GB2312" w:hAnsi="宋体" w:hint="eastAsia"/>
          <w:b/>
          <w:sz w:val="32"/>
          <w:szCs w:val="32"/>
        </w:rPr>
        <w:t>、</w:t>
      </w:r>
      <w:r w:rsidR="001156DF" w:rsidRPr="009427A8">
        <w:rPr>
          <w:rFonts w:ascii="仿宋_GB2312" w:eastAsia="仿宋_GB2312" w:hAnsi="宋体"/>
          <w:b/>
          <w:sz w:val="32"/>
          <w:szCs w:val="32"/>
        </w:rPr>
        <w:t>“</w:t>
      </w:r>
      <w:r w:rsidRPr="009427A8">
        <w:rPr>
          <w:rFonts w:ascii="仿宋_GB2312" w:eastAsia="仿宋_GB2312" w:hAnsi="宋体" w:hint="eastAsia"/>
          <w:b/>
          <w:sz w:val="32"/>
          <w:szCs w:val="32"/>
        </w:rPr>
        <w:t>双高人群</w:t>
      </w:r>
      <w:r w:rsidR="001156DF" w:rsidRPr="009427A8">
        <w:rPr>
          <w:rFonts w:ascii="仿宋_GB2312" w:eastAsia="仿宋_GB2312" w:hAnsi="宋体"/>
          <w:b/>
          <w:sz w:val="32"/>
          <w:szCs w:val="32"/>
        </w:rPr>
        <w:t>”</w:t>
      </w:r>
      <w:r w:rsidRPr="009427A8">
        <w:rPr>
          <w:rFonts w:ascii="仿宋_GB2312" w:eastAsia="仿宋_GB2312" w:hAnsi="宋体" w:hint="eastAsia"/>
          <w:b/>
          <w:sz w:val="32"/>
          <w:szCs w:val="32"/>
        </w:rPr>
        <w:t>股权交易的税务风险与合规</w:t>
      </w:r>
    </w:p>
    <w:p w14:paraId="7EDA2BE6" w14:textId="2AD68D9D" w:rsidR="00803999" w:rsidRPr="009427A8" w:rsidRDefault="00A86CB3" w:rsidP="00803999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（一）</w:t>
      </w:r>
      <w:r w:rsidR="00803999" w:rsidRPr="009427A8">
        <w:rPr>
          <w:rFonts w:ascii="仿宋_GB2312" w:eastAsia="仿宋_GB2312" w:hAnsi="宋体" w:hint="eastAsia"/>
          <w:sz w:val="32"/>
          <w:szCs w:val="32"/>
        </w:rPr>
        <w:t>双高人群股权交易税务监管形势分析</w:t>
      </w:r>
    </w:p>
    <w:p w14:paraId="12D31F01" w14:textId="77777777" w:rsidR="00803999" w:rsidRPr="009427A8" w:rsidRDefault="00803999" w:rsidP="00C958F1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1.加强资本监管下税务监管的新形势</w:t>
      </w:r>
    </w:p>
    <w:p w14:paraId="485913FF" w14:textId="77777777" w:rsidR="00803999" w:rsidRPr="009427A8" w:rsidRDefault="00803999" w:rsidP="00C958F1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2.双高人群股权交易税务稽查新要点</w:t>
      </w:r>
    </w:p>
    <w:p w14:paraId="01D2D064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（二）股权架构设计优化中的税务</w:t>
      </w:r>
      <w:proofErr w:type="gramStart"/>
      <w:r w:rsidRPr="009427A8">
        <w:rPr>
          <w:rFonts w:ascii="仿宋_GB2312" w:eastAsia="仿宋_GB2312" w:hAnsi="宋体" w:hint="eastAsia"/>
          <w:sz w:val="32"/>
          <w:szCs w:val="32"/>
        </w:rPr>
        <w:t>考量</w:t>
      </w:r>
      <w:proofErr w:type="gramEnd"/>
    </w:p>
    <w:p w14:paraId="0F913265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1.自然人持股模式税务优化策略</w:t>
      </w:r>
    </w:p>
    <w:p w14:paraId="50470AA9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2.法人持股模式税务优化策略</w:t>
      </w:r>
    </w:p>
    <w:p w14:paraId="5070C831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3.合伙企业持股模式税务优化策略</w:t>
      </w:r>
    </w:p>
    <w:p w14:paraId="11BCCEA1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4.</w:t>
      </w:r>
      <w:proofErr w:type="gramStart"/>
      <w:r w:rsidRPr="009427A8">
        <w:rPr>
          <w:rFonts w:ascii="仿宋_GB2312" w:eastAsia="仿宋_GB2312" w:hAnsi="宋体" w:hint="eastAsia"/>
          <w:sz w:val="32"/>
          <w:szCs w:val="32"/>
        </w:rPr>
        <w:t>资管计划</w:t>
      </w:r>
      <w:proofErr w:type="gramEnd"/>
      <w:r w:rsidRPr="009427A8">
        <w:rPr>
          <w:rFonts w:ascii="仿宋_GB2312" w:eastAsia="仿宋_GB2312" w:hAnsi="宋体" w:hint="eastAsia"/>
          <w:sz w:val="32"/>
          <w:szCs w:val="32"/>
        </w:rPr>
        <w:t>持股模式税务优化策略</w:t>
      </w:r>
    </w:p>
    <w:p w14:paraId="134FAD44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（三）股权激励方式选择中的税务</w:t>
      </w:r>
      <w:proofErr w:type="gramStart"/>
      <w:r w:rsidRPr="009427A8">
        <w:rPr>
          <w:rFonts w:ascii="仿宋_GB2312" w:eastAsia="仿宋_GB2312" w:hAnsi="宋体" w:hint="eastAsia"/>
          <w:sz w:val="32"/>
          <w:szCs w:val="32"/>
        </w:rPr>
        <w:t>考量</w:t>
      </w:r>
      <w:proofErr w:type="gramEnd"/>
    </w:p>
    <w:p w14:paraId="72B6B4B6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1.股票期权激励的税务优化策略</w:t>
      </w:r>
    </w:p>
    <w:p w14:paraId="663F8DFF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2.第一类限制性股票激励的税务优化策略</w:t>
      </w:r>
    </w:p>
    <w:p w14:paraId="2F374E6C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lastRenderedPageBreak/>
        <w:t>3.第二类限制性股票激励的税务优化策略</w:t>
      </w:r>
    </w:p>
    <w:p w14:paraId="77C85674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4.合伙</w:t>
      </w:r>
      <w:proofErr w:type="gramStart"/>
      <w:r w:rsidRPr="009427A8">
        <w:rPr>
          <w:rFonts w:ascii="仿宋_GB2312" w:eastAsia="仿宋_GB2312" w:hAnsi="宋体" w:hint="eastAsia"/>
          <w:sz w:val="32"/>
          <w:szCs w:val="32"/>
        </w:rPr>
        <w:t>企业代持激励</w:t>
      </w:r>
      <w:proofErr w:type="gramEnd"/>
      <w:r w:rsidRPr="009427A8">
        <w:rPr>
          <w:rFonts w:ascii="仿宋_GB2312" w:eastAsia="仿宋_GB2312" w:hAnsi="宋体" w:hint="eastAsia"/>
          <w:sz w:val="32"/>
          <w:szCs w:val="32"/>
        </w:rPr>
        <w:t>的税务优化策略</w:t>
      </w:r>
    </w:p>
    <w:p w14:paraId="5BA99C72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（四）股权交易全流程税务风险防范与规划</w:t>
      </w:r>
    </w:p>
    <w:p w14:paraId="14E3A872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1.取得股权环节税务风险防范与规划</w:t>
      </w:r>
    </w:p>
    <w:p w14:paraId="7CC1C785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2.</w:t>
      </w:r>
      <w:proofErr w:type="gramStart"/>
      <w:r w:rsidRPr="009427A8">
        <w:rPr>
          <w:rFonts w:ascii="仿宋_GB2312" w:eastAsia="仿宋_GB2312" w:hAnsi="宋体" w:hint="eastAsia"/>
          <w:sz w:val="32"/>
          <w:szCs w:val="32"/>
        </w:rPr>
        <w:t>股权代持中</w:t>
      </w:r>
      <w:proofErr w:type="gramEnd"/>
      <w:r w:rsidRPr="009427A8">
        <w:rPr>
          <w:rFonts w:ascii="仿宋_GB2312" w:eastAsia="仿宋_GB2312" w:hAnsi="宋体" w:hint="eastAsia"/>
          <w:sz w:val="32"/>
          <w:szCs w:val="32"/>
        </w:rPr>
        <w:t>的税务风险防范与规划</w:t>
      </w:r>
    </w:p>
    <w:p w14:paraId="31103CAB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3.股息分红环节税务风险防范与规划</w:t>
      </w:r>
    </w:p>
    <w:p w14:paraId="56F42FA1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4.股权回购环节税务风险防范与规划</w:t>
      </w:r>
    </w:p>
    <w:p w14:paraId="70D42693" w14:textId="77777777" w:rsidR="00C260FB" w:rsidRPr="009427A8" w:rsidRDefault="00C260FB" w:rsidP="00C260FB">
      <w:pPr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5.股权转让环节税务风险防范与规划</w:t>
      </w:r>
    </w:p>
    <w:p w14:paraId="32E9BBC2" w14:textId="46E3A02D" w:rsidR="00611DE1" w:rsidRPr="009427A8" w:rsidRDefault="008F1ABB" w:rsidP="009626DD">
      <w:pPr>
        <w:rPr>
          <w:rFonts w:ascii="仿宋_GB2312" w:eastAsia="仿宋_GB2312" w:hAnsi="宋体" w:hint="eastAsia"/>
          <w:b/>
          <w:bCs/>
          <w:sz w:val="32"/>
          <w:szCs w:val="32"/>
        </w:rPr>
      </w:pPr>
      <w:r w:rsidRPr="009427A8">
        <w:rPr>
          <w:rFonts w:ascii="仿宋_GB2312" w:eastAsia="仿宋_GB2312" w:hAnsi="宋体" w:hint="eastAsia"/>
          <w:b/>
          <w:bCs/>
          <w:sz w:val="32"/>
          <w:szCs w:val="32"/>
        </w:rPr>
        <w:t>五</w:t>
      </w:r>
      <w:r w:rsidR="00287403" w:rsidRPr="009427A8">
        <w:rPr>
          <w:rFonts w:ascii="仿宋_GB2312" w:eastAsia="仿宋_GB2312" w:hAnsi="宋体" w:hint="eastAsia"/>
          <w:b/>
          <w:bCs/>
          <w:sz w:val="32"/>
          <w:szCs w:val="32"/>
        </w:rPr>
        <w:t>、拟邀师资</w:t>
      </w:r>
    </w:p>
    <w:p w14:paraId="793D07EE" w14:textId="77777777" w:rsidR="00287403" w:rsidRPr="009427A8" w:rsidRDefault="00287403" w:rsidP="00287403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仿宋_GB2312" w:eastAsia="仿宋_GB2312" w:cstheme="minorBidi" w:hint="eastAsia"/>
          <w:kern w:val="2"/>
          <w:sz w:val="32"/>
          <w:szCs w:val="32"/>
        </w:rPr>
      </w:pPr>
      <w:r w:rsidRPr="009427A8">
        <w:rPr>
          <w:rFonts w:ascii="仿宋_GB2312" w:eastAsia="仿宋_GB2312" w:cstheme="minorBidi" w:hint="eastAsia"/>
          <w:kern w:val="2"/>
          <w:sz w:val="32"/>
          <w:szCs w:val="32"/>
        </w:rPr>
        <w:t>葛老师（课程主任）：上海国家会计学院副教授，应用经济系主任，曾挂职于财政部条法司。</w:t>
      </w:r>
    </w:p>
    <w:p w14:paraId="35661DC3" w14:textId="098E7E3B" w:rsidR="00287403" w:rsidRPr="009427A8" w:rsidRDefault="00287403" w:rsidP="00287403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仿宋_GB2312" w:eastAsia="仿宋_GB2312" w:cstheme="minorBidi" w:hint="eastAsia"/>
          <w:kern w:val="2"/>
          <w:sz w:val="32"/>
          <w:szCs w:val="32"/>
        </w:rPr>
      </w:pPr>
      <w:r w:rsidRPr="009427A8">
        <w:rPr>
          <w:rFonts w:ascii="仿宋_GB2312" w:eastAsia="仿宋_GB2312" w:cstheme="minorBidi" w:hint="eastAsia"/>
          <w:kern w:val="2"/>
          <w:sz w:val="32"/>
          <w:szCs w:val="32"/>
        </w:rPr>
        <w:t>鞠老师（课程主任）：上海国家会计学院副教授，全国税务系统四星名师，入选第二批全国税务系统领军人才。</w:t>
      </w:r>
    </w:p>
    <w:p w14:paraId="4C36DC37" w14:textId="3E7C91D9" w:rsidR="00D010A4" w:rsidRPr="009427A8" w:rsidRDefault="00D010A4" w:rsidP="00D010A4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9427A8">
        <w:rPr>
          <w:rFonts w:ascii="仿宋_GB2312" w:eastAsia="仿宋_GB2312" w:hAnsi="宋体" w:hint="eastAsia"/>
          <w:b/>
          <w:bCs/>
          <w:sz w:val="32"/>
          <w:szCs w:val="32"/>
        </w:rPr>
        <w:t>六、收费标准</w:t>
      </w:r>
    </w:p>
    <w:p w14:paraId="6FAB0145" w14:textId="4760787B" w:rsidR="00D010A4" w:rsidRPr="009427A8" w:rsidRDefault="00D010A4" w:rsidP="00D010A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1.培训费：</w:t>
      </w:r>
      <w:r w:rsidR="003367A3" w:rsidRPr="009427A8">
        <w:rPr>
          <w:rFonts w:ascii="仿宋_GB2312" w:eastAsia="仿宋_GB2312" w:hAnsi="宋体"/>
          <w:sz w:val="32"/>
          <w:szCs w:val="32"/>
        </w:rPr>
        <w:t>1</w:t>
      </w:r>
      <w:r w:rsidR="00C260FB" w:rsidRPr="009427A8">
        <w:rPr>
          <w:rFonts w:ascii="仿宋_GB2312" w:eastAsia="仿宋_GB2312" w:hAnsi="宋体" w:hint="eastAsia"/>
          <w:sz w:val="32"/>
          <w:szCs w:val="32"/>
        </w:rPr>
        <w:t>5</w:t>
      </w:r>
      <w:r w:rsidR="003367A3" w:rsidRPr="009427A8">
        <w:rPr>
          <w:rFonts w:ascii="仿宋_GB2312" w:eastAsia="仿宋_GB2312" w:hAnsi="宋体"/>
          <w:sz w:val="32"/>
          <w:szCs w:val="32"/>
        </w:rPr>
        <w:t>8</w:t>
      </w:r>
      <w:r w:rsidRPr="009427A8">
        <w:rPr>
          <w:rFonts w:ascii="仿宋_GB2312" w:eastAsia="仿宋_GB2312" w:hAnsi="宋体" w:hint="eastAsia"/>
          <w:sz w:val="32"/>
          <w:szCs w:val="32"/>
        </w:rPr>
        <w:t>00元。</w:t>
      </w:r>
    </w:p>
    <w:p w14:paraId="0E5CA55D" w14:textId="77777777" w:rsidR="00D010A4" w:rsidRPr="009427A8" w:rsidRDefault="00D010A4" w:rsidP="00D010A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2.食宿统一安排，费用自理（具体用标准以开课通知为准）。</w:t>
      </w:r>
    </w:p>
    <w:p w14:paraId="1340867A" w14:textId="77777777" w:rsidR="00D010A4" w:rsidRPr="009427A8" w:rsidRDefault="00D010A4" w:rsidP="00D010A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2D73B7CF" w14:textId="77777777" w:rsidR="00D010A4" w:rsidRPr="009427A8" w:rsidRDefault="00D010A4" w:rsidP="00D010A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4.关于发票：培训费发票由上海国家会计学院提供；食宿发票由酒店提供。</w:t>
      </w:r>
    </w:p>
    <w:p w14:paraId="4B5F5099" w14:textId="77777777" w:rsidR="00D010A4" w:rsidRPr="009427A8" w:rsidRDefault="00D010A4" w:rsidP="00D010A4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9427A8">
        <w:rPr>
          <w:rFonts w:ascii="仿宋_GB2312" w:eastAsia="仿宋_GB2312" w:hAnsi="宋体" w:hint="eastAsia"/>
          <w:b/>
          <w:bCs/>
          <w:sz w:val="32"/>
          <w:szCs w:val="32"/>
        </w:rPr>
        <w:t>七、结业证书</w:t>
      </w:r>
    </w:p>
    <w:p w14:paraId="621953B2" w14:textId="16CB0148" w:rsidR="00451E83" w:rsidRDefault="00D010A4" w:rsidP="00D010A4">
      <w:pPr>
        <w:spacing w:line="360" w:lineRule="auto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培训班结束后由学院颁发结业证书，并</w:t>
      </w:r>
      <w:r w:rsidRPr="009427A8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</w:t>
      </w:r>
    </w:p>
    <w:p w14:paraId="7445200C" w14:textId="31F165DF" w:rsidR="00451E83" w:rsidRDefault="00451E83" w:rsidP="00D010A4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451E83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八、</w:t>
      </w:r>
      <w:r w:rsidR="002411BA">
        <w:rPr>
          <w:rFonts w:ascii="仿宋_GB2312" w:eastAsia="仿宋_GB2312" w:hAnsi="宋体" w:hint="eastAsia"/>
          <w:b/>
          <w:bCs/>
          <w:sz w:val="32"/>
          <w:szCs w:val="32"/>
        </w:rPr>
        <w:t>学员</w:t>
      </w:r>
      <w:r w:rsidRPr="00451E83">
        <w:rPr>
          <w:rFonts w:ascii="仿宋_GB2312" w:eastAsia="仿宋_GB2312" w:hAnsi="宋体" w:hint="eastAsia"/>
          <w:b/>
          <w:bCs/>
          <w:sz w:val="32"/>
          <w:szCs w:val="32"/>
        </w:rPr>
        <w:t>反馈</w:t>
      </w:r>
    </w:p>
    <w:p w14:paraId="25822E25" w14:textId="50FB7048" w:rsidR="00451E83" w:rsidRDefault="00451E83" w:rsidP="00323FD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451E83">
        <w:rPr>
          <w:rFonts w:ascii="仿宋_GB2312" w:eastAsia="仿宋_GB2312" w:hAnsi="宋体" w:hint="eastAsia"/>
          <w:sz w:val="32"/>
          <w:szCs w:val="32"/>
        </w:rPr>
        <w:t>高净值、高收入简称“双高”人群，是税务部门重点关心的特殊少数，鞠博士从实务、理论、历史渊源与监管实践等多角度纵横贯通，打通任督二脉。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4DE1FF90" w14:textId="77777777" w:rsidR="00323FD4" w:rsidRDefault="000D5407" w:rsidP="00323FD4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——李同学 某上市公司董事</w:t>
      </w:r>
    </w:p>
    <w:p w14:paraId="791368CB" w14:textId="6E94648A" w:rsidR="00451E83" w:rsidRPr="000D5407" w:rsidRDefault="000D5407" w:rsidP="00323FD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0D5407">
        <w:rPr>
          <w:rFonts w:ascii="仿宋_GB2312" w:eastAsia="仿宋_GB2312" w:hAnsi="宋体" w:hint="eastAsia"/>
          <w:sz w:val="32"/>
          <w:szCs w:val="32"/>
        </w:rPr>
        <w:t>教授化身十万个为什么的解答者，</w:t>
      </w:r>
      <w:proofErr w:type="gramStart"/>
      <w:r w:rsidR="00323FD4">
        <w:rPr>
          <w:rFonts w:ascii="仿宋_GB2312" w:eastAsia="仿宋_GB2312" w:hAnsi="宋体" w:hint="eastAsia"/>
          <w:sz w:val="32"/>
          <w:szCs w:val="32"/>
        </w:rPr>
        <w:t>融汇</w:t>
      </w:r>
      <w:proofErr w:type="gramEnd"/>
      <w:r w:rsidR="00323FD4">
        <w:rPr>
          <w:rFonts w:ascii="仿宋_GB2312" w:eastAsia="仿宋_GB2312" w:hAnsi="宋体" w:hint="eastAsia"/>
          <w:sz w:val="32"/>
          <w:szCs w:val="32"/>
        </w:rPr>
        <w:t>了</w:t>
      </w:r>
      <w:r w:rsidRPr="000D5407">
        <w:rPr>
          <w:rFonts w:ascii="仿宋_GB2312" w:eastAsia="仿宋_GB2312" w:hAnsi="宋体" w:hint="eastAsia"/>
          <w:sz w:val="32"/>
          <w:szCs w:val="32"/>
        </w:rPr>
        <w:t>税法、会计及公司法，听得心情舒畅。</w:t>
      </w:r>
    </w:p>
    <w:p w14:paraId="102F5A97" w14:textId="3C9CB02A" w:rsidR="00DA48FB" w:rsidRDefault="000D5407" w:rsidP="00323FD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0D5407">
        <w:rPr>
          <w:rFonts w:ascii="仿宋_GB2312" w:eastAsia="仿宋_GB2312" w:hAnsi="宋体" w:hint="eastAsia"/>
          <w:sz w:val="32"/>
          <w:szCs w:val="32"/>
        </w:rPr>
        <w:t>——刘同学 某大型民营集团 总经理</w:t>
      </w:r>
    </w:p>
    <w:p w14:paraId="246A5029" w14:textId="3AFF516B" w:rsidR="000D5407" w:rsidRDefault="000D5407" w:rsidP="00323FD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三天课，收获满满</w:t>
      </w:r>
      <w:r w:rsidR="00323FD4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不仅有教授博士专业授课，还有上市公司和大企业的财税高管课上交流实操问题，真的太好了</w:t>
      </w:r>
      <w:r w:rsidR="00323FD4">
        <w:rPr>
          <w:rFonts w:ascii="仿宋_GB2312" w:eastAsia="仿宋_GB2312" w:hAnsi="宋体" w:hint="eastAsia"/>
          <w:sz w:val="32"/>
          <w:szCs w:val="32"/>
        </w:rPr>
        <w:t>。</w:t>
      </w:r>
    </w:p>
    <w:p w14:paraId="4E3C91FF" w14:textId="22C0A1FE" w:rsidR="000D5407" w:rsidRPr="000D5407" w:rsidRDefault="000D5407" w:rsidP="00323FD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——陈同学 </w:t>
      </w:r>
      <w:r w:rsidR="00707670">
        <w:rPr>
          <w:rFonts w:ascii="仿宋_GB2312" w:eastAsia="仿宋_GB2312" w:hAnsi="宋体" w:hint="eastAsia"/>
          <w:sz w:val="32"/>
          <w:szCs w:val="32"/>
        </w:rPr>
        <w:t>某</w:t>
      </w:r>
      <w:r>
        <w:rPr>
          <w:rFonts w:ascii="仿宋_GB2312" w:eastAsia="仿宋_GB2312" w:hAnsi="宋体" w:hint="eastAsia"/>
          <w:sz w:val="32"/>
          <w:szCs w:val="32"/>
        </w:rPr>
        <w:t>财税咨询公司 资深顾问</w:t>
      </w:r>
    </w:p>
    <w:p w14:paraId="01F98282" w14:textId="2306D25E" w:rsidR="00D010A4" w:rsidRPr="009427A8" w:rsidRDefault="00451E83" w:rsidP="00D010A4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九</w:t>
      </w:r>
      <w:r w:rsidR="00D010A4" w:rsidRPr="009427A8">
        <w:rPr>
          <w:rFonts w:ascii="仿宋_GB2312" w:eastAsia="仿宋_GB2312" w:hAnsi="宋体" w:hint="eastAsia"/>
          <w:b/>
          <w:bCs/>
          <w:sz w:val="32"/>
          <w:szCs w:val="32"/>
        </w:rPr>
        <w:t>、报名咨询</w:t>
      </w:r>
    </w:p>
    <w:p w14:paraId="5C10543F" w14:textId="77777777" w:rsidR="00D010A4" w:rsidRPr="009427A8" w:rsidRDefault="00D010A4" w:rsidP="00D010A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18522D53" w14:textId="5E542E7D" w:rsidR="004B3FC4" w:rsidRPr="009427A8" w:rsidRDefault="004B3FC4" w:rsidP="00D010A4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联系人：胡老师</w:t>
      </w:r>
      <w:r w:rsidRPr="009427A8">
        <w:rPr>
          <w:rFonts w:ascii="仿宋_GB2312" w:eastAsia="仿宋_GB2312" w:hAnsi="宋体"/>
          <w:sz w:val="32"/>
          <w:szCs w:val="32"/>
        </w:rPr>
        <w:t>13671861672</w:t>
      </w:r>
    </w:p>
    <w:p w14:paraId="5CD7BE05" w14:textId="62195CC3" w:rsidR="004B3FC4" w:rsidRPr="009427A8" w:rsidRDefault="004B3FC4" w:rsidP="004B3FC4">
      <w:pPr>
        <w:spacing w:line="360" w:lineRule="auto"/>
        <w:ind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杨老师</w:t>
      </w:r>
      <w:r w:rsidRPr="009427A8">
        <w:rPr>
          <w:rFonts w:ascii="仿宋_GB2312" w:eastAsia="仿宋_GB2312" w:hAnsi="宋体"/>
          <w:sz w:val="32"/>
          <w:szCs w:val="32"/>
        </w:rPr>
        <w:t>15901871618</w:t>
      </w:r>
    </w:p>
    <w:p w14:paraId="7267585E" w14:textId="20097AC4" w:rsidR="004B3FC4" w:rsidRPr="009427A8" w:rsidRDefault="00451E83" w:rsidP="00D010A4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十</w:t>
      </w:r>
      <w:r w:rsidR="004B3FC4" w:rsidRPr="009427A8">
        <w:rPr>
          <w:rFonts w:ascii="仿宋_GB2312" w:eastAsia="仿宋_GB2312" w:hAnsi="宋体" w:hint="eastAsia"/>
          <w:b/>
          <w:bCs/>
          <w:sz w:val="32"/>
          <w:szCs w:val="32"/>
        </w:rPr>
        <w:t>、课程顾问</w:t>
      </w:r>
    </w:p>
    <w:p w14:paraId="41C0937B" w14:textId="086E11B1" w:rsidR="00BF1316" w:rsidRPr="009427A8" w:rsidRDefault="00FF1CCF" w:rsidP="00006505">
      <w:pPr>
        <w:spacing w:line="360" w:lineRule="auto"/>
        <w:rPr>
          <w:rFonts w:ascii="宋体" w:eastAsia="宋体" w:hAnsi="宋体" w:hint="eastAsia"/>
          <w:sz w:val="32"/>
          <w:szCs w:val="32"/>
        </w:rPr>
      </w:pPr>
      <w:r w:rsidRPr="009427A8">
        <w:rPr>
          <w:rFonts w:ascii="仿宋_GB2312" w:eastAsia="仿宋_GB2312" w:hAnsi="宋体" w:hint="eastAsia"/>
          <w:sz w:val="32"/>
          <w:szCs w:val="32"/>
        </w:rPr>
        <w:t>于</w:t>
      </w:r>
      <w:r w:rsidR="007570E1" w:rsidRPr="009427A8">
        <w:rPr>
          <w:rFonts w:ascii="仿宋_GB2312" w:eastAsia="仿宋_GB2312" w:hAnsi="宋体"/>
          <w:sz w:val="32"/>
          <w:szCs w:val="32"/>
        </w:rPr>
        <w:t>老师1812116</w:t>
      </w:r>
      <w:r w:rsidRPr="009427A8">
        <w:rPr>
          <w:rFonts w:ascii="仿宋_GB2312" w:eastAsia="仿宋_GB2312" w:hAnsi="宋体" w:hint="eastAsia"/>
          <w:sz w:val="32"/>
          <w:szCs w:val="32"/>
        </w:rPr>
        <w:t>8176</w:t>
      </w:r>
    </w:p>
    <w:p w14:paraId="158386DC" w14:textId="77777777" w:rsidR="00BF1316" w:rsidRPr="009427A8" w:rsidRDefault="00BF1316" w:rsidP="00D010A4">
      <w:pPr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p w14:paraId="7323FBCF" w14:textId="77777777" w:rsidR="00D010A4" w:rsidRPr="009427A8" w:rsidRDefault="00D010A4" w:rsidP="00D010A4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</w:pPr>
      <w:r w:rsidRPr="009427A8">
        <w:rPr>
          <w:rFonts w:ascii="黑体" w:eastAsia="黑体" w:hAnsi="黑体" w:cs="微软雅黑" w:hint="eastAsia"/>
          <w:b/>
          <w:bCs/>
          <w:color w:val="000000"/>
          <w:sz w:val="32"/>
          <w:szCs w:val="32"/>
        </w:rPr>
        <w:t>附件二：</w:t>
      </w:r>
    </w:p>
    <w:p w14:paraId="46802125" w14:textId="3370C2C5" w:rsidR="00D010A4" w:rsidRPr="009427A8" w:rsidRDefault="00D010A4" w:rsidP="00451E83">
      <w:pPr>
        <w:widowControl/>
        <w:tabs>
          <w:tab w:val="center" w:pos="4766"/>
          <w:tab w:val="left" w:pos="6716"/>
        </w:tabs>
        <w:spacing w:line="360" w:lineRule="auto"/>
        <w:ind w:firstLineChars="200" w:firstLine="643"/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</w:pPr>
      <w:r w:rsidRPr="009427A8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“</w:t>
      </w:r>
      <w:r w:rsidR="0016361D" w:rsidRPr="0016361D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高收入高净值人群及相关人士的税收风险与防范</w:t>
      </w:r>
      <w:r w:rsidRPr="009427A8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”</w:t>
      </w:r>
    </w:p>
    <w:p w14:paraId="3C84667A" w14:textId="726C0662" w:rsidR="00D010A4" w:rsidRPr="009427A8" w:rsidRDefault="00D010A4" w:rsidP="00D010A4">
      <w:pPr>
        <w:widowControl/>
        <w:tabs>
          <w:tab w:val="center" w:pos="4766"/>
          <w:tab w:val="left" w:pos="6716"/>
        </w:tabs>
        <w:spacing w:line="360" w:lineRule="auto"/>
        <w:ind w:firstLineChars="200" w:firstLine="643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9427A8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培训班报名表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1"/>
      </w:tblGrid>
      <w:tr w:rsidR="00D010A4" w:rsidRPr="009427A8" w14:paraId="0B94F25D" w14:textId="77777777" w:rsidTr="00B55A9D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2E96" w14:textId="77777777" w:rsidR="00D010A4" w:rsidRPr="009427A8" w:rsidRDefault="00D010A4" w:rsidP="00B55A9D">
            <w:pPr>
              <w:autoSpaceDN w:val="0"/>
              <w:spacing w:before="156" w:after="156"/>
              <w:jc w:val="center"/>
              <w:rPr>
                <w:rFonts w:ascii="宋体" w:eastAsia="宋体" w:hAnsi="宋体" w:hint="eastAsia"/>
                <w:color w:val="58595B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lastRenderedPageBreak/>
              <w:t>单位名称</w:t>
            </w:r>
          </w:p>
        </w:tc>
        <w:tc>
          <w:tcPr>
            <w:tcW w:w="8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0948" w14:textId="77777777" w:rsidR="00D010A4" w:rsidRPr="009427A8" w:rsidRDefault="00D010A4" w:rsidP="00B55A9D">
            <w:pPr>
              <w:autoSpaceDN w:val="0"/>
              <w:jc w:val="left"/>
              <w:rPr>
                <w:rFonts w:ascii="宋体" w:eastAsia="宋体" w:hAnsi="宋体" w:hint="eastAsia"/>
                <w:color w:val="58595B"/>
                <w:szCs w:val="21"/>
              </w:rPr>
            </w:pPr>
          </w:p>
        </w:tc>
      </w:tr>
      <w:tr w:rsidR="00D010A4" w:rsidRPr="009427A8" w14:paraId="4D2EE5AA" w14:textId="77777777" w:rsidTr="00B55A9D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A024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color w:val="58595B"/>
                <w:szCs w:val="21"/>
              </w:rPr>
            </w:pPr>
            <w:r w:rsidRPr="009427A8">
              <w:rPr>
                <w:rFonts w:ascii="宋体" w:eastAsia="宋体" w:hAnsi="宋体"/>
                <w:b/>
                <w:color w:val="000000"/>
                <w:szCs w:val="21"/>
              </w:rPr>
              <w:t>联系人</w:t>
            </w: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746D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 w:hint="eastAsia"/>
                <w:color w:val="58595B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2A15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58595B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08BF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58595B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6C2B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58595B"/>
                <w:szCs w:val="21"/>
              </w:rPr>
            </w:pPr>
            <w:r w:rsidRPr="009427A8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7854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color w:val="58595B"/>
                <w:szCs w:val="21"/>
              </w:rPr>
            </w:pPr>
          </w:p>
        </w:tc>
      </w:tr>
      <w:tr w:rsidR="00D010A4" w:rsidRPr="009427A8" w14:paraId="3186327A" w14:textId="77777777" w:rsidTr="00B55A9D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789C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C7F2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color w:val="58595B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省 </w:t>
            </w:r>
            <w:r w:rsidRPr="009427A8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 </w:t>
            </w:r>
            <w:r w:rsidRPr="009427A8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6F7F" w14:textId="77777777" w:rsidR="00D010A4" w:rsidRPr="009427A8" w:rsidRDefault="00D010A4" w:rsidP="00B55A9D">
            <w:pPr>
              <w:pStyle w:val="a9"/>
              <w:jc w:val="center"/>
              <w:rPr>
                <w:rFonts w:ascii="宋体" w:hAnsi="宋体" w:hint="eastAsia"/>
                <w:szCs w:val="21"/>
              </w:rPr>
            </w:pPr>
            <w:r w:rsidRPr="009427A8">
              <w:rPr>
                <w:rFonts w:ascii="宋体" w:hAnsi="宋体" w:hint="eastAsia"/>
                <w:b/>
                <w:color w:val="000000"/>
                <w:szCs w:val="21"/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3A25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color w:val="58595B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8392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bCs/>
                <w:color w:val="58595B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419F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color w:val="58595B"/>
                <w:szCs w:val="21"/>
              </w:rPr>
            </w:pPr>
            <w:r w:rsidRPr="009427A8">
              <w:rPr>
                <w:rFonts w:ascii="宋体" w:eastAsia="宋体" w:hAnsi="宋体" w:hint="eastAsia"/>
                <w:color w:val="58595B"/>
                <w:szCs w:val="21"/>
                <w:u w:val="single"/>
              </w:rPr>
              <w:t xml:space="preserve"> </w:t>
            </w:r>
            <w:r w:rsidRPr="009427A8">
              <w:rPr>
                <w:rFonts w:ascii="宋体" w:eastAsia="宋体" w:hAnsi="宋体"/>
                <w:color w:val="58595B"/>
                <w:szCs w:val="21"/>
                <w:u w:val="single"/>
              </w:rPr>
              <w:t xml:space="preserve">      </w:t>
            </w:r>
            <w:r w:rsidRPr="009427A8">
              <w:rPr>
                <w:rFonts w:ascii="宋体" w:eastAsia="宋体" w:hAnsi="宋体" w:hint="eastAsia"/>
                <w:color w:val="58595B"/>
                <w:szCs w:val="21"/>
              </w:rPr>
              <w:t>（万）</w:t>
            </w:r>
          </w:p>
        </w:tc>
      </w:tr>
      <w:tr w:rsidR="00D010A4" w:rsidRPr="009427A8" w14:paraId="53229460" w14:textId="77777777" w:rsidTr="00B55A9D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3144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A0FE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Cs w:val="21"/>
              </w:rPr>
            </w:pPr>
            <w:r w:rsidRPr="009427A8"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1F51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479B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F5B4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BF8D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  <w:r w:rsidRPr="009427A8">
              <w:rPr>
                <w:rFonts w:ascii="宋体" w:eastAsia="宋体" w:hAnsi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50CC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  <w:r w:rsidRPr="009427A8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</w:tr>
      <w:tr w:rsidR="00D010A4" w:rsidRPr="009427A8" w14:paraId="227DA540" w14:textId="77777777" w:rsidTr="00B55A9D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00C9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1E06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A186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6740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C65C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9589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61A4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</w:tr>
      <w:tr w:rsidR="00D010A4" w:rsidRPr="009427A8" w14:paraId="4A0649AB" w14:textId="77777777" w:rsidTr="00B55A9D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4577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CF6E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89B3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7098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4586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D20A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917E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</w:tr>
      <w:tr w:rsidR="00D010A4" w:rsidRPr="009427A8" w14:paraId="780D4CA8" w14:textId="77777777" w:rsidTr="00B55A9D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F61E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C44C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8AED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6E7B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29FE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CFCA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3C0B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</w:tr>
      <w:tr w:rsidR="00D010A4" w:rsidRPr="009427A8" w14:paraId="4C4FBF54" w14:textId="77777777" w:rsidTr="00B55A9D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CC75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6F0E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6206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5647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89F4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3D44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3B8F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</w:tr>
      <w:tr w:rsidR="00D010A4" w:rsidRPr="009427A8" w14:paraId="09FF7E6B" w14:textId="77777777" w:rsidTr="00B55A9D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E650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5B04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54A9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B7AE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5159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9395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8335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</w:tr>
      <w:tr w:rsidR="00D010A4" w:rsidRPr="009427A8" w14:paraId="2DEF0540" w14:textId="77777777" w:rsidTr="00B55A9D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9382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A464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52B6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0DC5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2FDB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D6F9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F64F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</w:tr>
      <w:tr w:rsidR="00D010A4" w:rsidRPr="009427A8" w14:paraId="7CA20A47" w14:textId="77777777" w:rsidTr="00B55A9D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25D7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8EC9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7B27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619C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5A5D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8092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3242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</w:tr>
      <w:tr w:rsidR="00D010A4" w:rsidRPr="00D07460" w14:paraId="62D9C65C" w14:textId="77777777" w:rsidTr="00B55A9D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531B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9427A8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报名程序：</w:t>
            </w:r>
          </w:p>
          <w:p w14:paraId="698E22D3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9427A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7C6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 w:rsidRPr="009427A8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学院账户：</w:t>
            </w:r>
          </w:p>
          <w:p w14:paraId="44FA58B7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9427A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532A50C0" w14:textId="77777777" w:rsidR="00D010A4" w:rsidRPr="009427A8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9427A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1968C1A6" w14:textId="77777777" w:rsidR="00D010A4" w:rsidRPr="00724A06" w:rsidRDefault="00D010A4" w:rsidP="00B55A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 w:rsidRPr="009427A8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</w:tbl>
    <w:p w14:paraId="1C206441" w14:textId="77777777" w:rsidR="00D010A4" w:rsidRPr="00D07460" w:rsidRDefault="00D010A4" w:rsidP="00D010A4">
      <w:pPr>
        <w:rPr>
          <w:rFonts w:ascii="宋体" w:eastAsia="宋体" w:hAnsi="宋体" w:hint="eastAsia"/>
        </w:rPr>
      </w:pPr>
    </w:p>
    <w:p w14:paraId="54EABBE3" w14:textId="77777777" w:rsidR="00D010A4" w:rsidRPr="00D010A4" w:rsidRDefault="00D010A4" w:rsidP="00211A40">
      <w:pPr>
        <w:spacing w:line="360" w:lineRule="auto"/>
        <w:rPr>
          <w:rFonts w:ascii="仿宋_GB2312" w:eastAsia="仿宋_GB2312" w:hAnsiTheme="minorEastAsia" w:hint="eastAsia"/>
          <w:b/>
          <w:sz w:val="32"/>
          <w:szCs w:val="32"/>
        </w:rPr>
      </w:pPr>
    </w:p>
    <w:p w14:paraId="51506917" w14:textId="078E6460" w:rsidR="00593097" w:rsidRPr="008F1ABB" w:rsidRDefault="00593097" w:rsidP="002674F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sectPr w:rsidR="00593097" w:rsidRPr="008F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7460" w14:textId="77777777" w:rsidR="00C45022" w:rsidRDefault="00C45022" w:rsidP="002C500E">
      <w:pPr>
        <w:rPr>
          <w:rFonts w:hint="eastAsia"/>
        </w:rPr>
      </w:pPr>
      <w:r>
        <w:separator/>
      </w:r>
    </w:p>
  </w:endnote>
  <w:endnote w:type="continuationSeparator" w:id="0">
    <w:p w14:paraId="3D49B669" w14:textId="77777777" w:rsidR="00C45022" w:rsidRDefault="00C45022" w:rsidP="002C50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YaH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iti SC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56388" w14:textId="77777777" w:rsidR="00C45022" w:rsidRDefault="00C45022" w:rsidP="002C500E">
      <w:pPr>
        <w:rPr>
          <w:rFonts w:hint="eastAsia"/>
        </w:rPr>
      </w:pPr>
      <w:r>
        <w:separator/>
      </w:r>
    </w:p>
  </w:footnote>
  <w:footnote w:type="continuationSeparator" w:id="0">
    <w:p w14:paraId="11FFB22E" w14:textId="77777777" w:rsidR="00C45022" w:rsidRDefault="00C45022" w:rsidP="002C50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2725"/>
    <w:multiLevelType w:val="hybridMultilevel"/>
    <w:tmpl w:val="C4C0853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4072A"/>
    <w:multiLevelType w:val="hybridMultilevel"/>
    <w:tmpl w:val="C4C08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742617"/>
    <w:multiLevelType w:val="hybridMultilevel"/>
    <w:tmpl w:val="C4C0853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0371C5"/>
    <w:multiLevelType w:val="hybridMultilevel"/>
    <w:tmpl w:val="C4C0853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964C6B"/>
    <w:multiLevelType w:val="multilevel"/>
    <w:tmpl w:val="28964C6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0B297C"/>
    <w:multiLevelType w:val="hybridMultilevel"/>
    <w:tmpl w:val="6B4A7960"/>
    <w:lvl w:ilvl="0" w:tplc="D9D8B3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3725DE2"/>
    <w:multiLevelType w:val="hybridMultilevel"/>
    <w:tmpl w:val="C4C0853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FD08CD"/>
    <w:multiLevelType w:val="hybridMultilevel"/>
    <w:tmpl w:val="C4C0853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A33D69"/>
    <w:multiLevelType w:val="hybridMultilevel"/>
    <w:tmpl w:val="C4C0853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157C7E"/>
    <w:multiLevelType w:val="hybridMultilevel"/>
    <w:tmpl w:val="992A6652"/>
    <w:lvl w:ilvl="0" w:tplc="E9C02F7C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宋体" w:cstheme="minorBidi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2F02B0"/>
    <w:multiLevelType w:val="hybridMultilevel"/>
    <w:tmpl w:val="C4C0853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0559271">
    <w:abstractNumId w:val="1"/>
  </w:num>
  <w:num w:numId="2" w16cid:durableId="1292595768">
    <w:abstractNumId w:val="9"/>
  </w:num>
  <w:num w:numId="3" w16cid:durableId="32928295">
    <w:abstractNumId w:val="8"/>
  </w:num>
  <w:num w:numId="4" w16cid:durableId="248270054">
    <w:abstractNumId w:val="7"/>
  </w:num>
  <w:num w:numId="5" w16cid:durableId="976225868">
    <w:abstractNumId w:val="3"/>
  </w:num>
  <w:num w:numId="6" w16cid:durableId="1635138944">
    <w:abstractNumId w:val="6"/>
  </w:num>
  <w:num w:numId="7" w16cid:durableId="1178545098">
    <w:abstractNumId w:val="2"/>
  </w:num>
  <w:num w:numId="8" w16cid:durableId="1439957009">
    <w:abstractNumId w:val="10"/>
  </w:num>
  <w:num w:numId="9" w16cid:durableId="775902581">
    <w:abstractNumId w:val="0"/>
  </w:num>
  <w:num w:numId="10" w16cid:durableId="672412641">
    <w:abstractNumId w:val="4"/>
  </w:num>
  <w:num w:numId="11" w16cid:durableId="421730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38"/>
    <w:rsid w:val="00006505"/>
    <w:rsid w:val="00037A26"/>
    <w:rsid w:val="000B1278"/>
    <w:rsid w:val="000D1038"/>
    <w:rsid w:val="000D5407"/>
    <w:rsid w:val="000F0976"/>
    <w:rsid w:val="001156DF"/>
    <w:rsid w:val="001202E8"/>
    <w:rsid w:val="00124D0A"/>
    <w:rsid w:val="00162190"/>
    <w:rsid w:val="0016361D"/>
    <w:rsid w:val="00196235"/>
    <w:rsid w:val="001B3007"/>
    <w:rsid w:val="001D6859"/>
    <w:rsid w:val="00211A40"/>
    <w:rsid w:val="002411BA"/>
    <w:rsid w:val="002674F2"/>
    <w:rsid w:val="0027611C"/>
    <w:rsid w:val="00287403"/>
    <w:rsid w:val="002C500E"/>
    <w:rsid w:val="002D5377"/>
    <w:rsid w:val="002F79BA"/>
    <w:rsid w:val="00305AF4"/>
    <w:rsid w:val="00315B01"/>
    <w:rsid w:val="00323FD4"/>
    <w:rsid w:val="003367A3"/>
    <w:rsid w:val="00360C4F"/>
    <w:rsid w:val="0037609C"/>
    <w:rsid w:val="00393D12"/>
    <w:rsid w:val="003A443F"/>
    <w:rsid w:val="003B45F0"/>
    <w:rsid w:val="003F3476"/>
    <w:rsid w:val="004019AE"/>
    <w:rsid w:val="004033A3"/>
    <w:rsid w:val="004225FA"/>
    <w:rsid w:val="004301B5"/>
    <w:rsid w:val="00451E83"/>
    <w:rsid w:val="00456A61"/>
    <w:rsid w:val="00465B81"/>
    <w:rsid w:val="00470806"/>
    <w:rsid w:val="00472612"/>
    <w:rsid w:val="00493FEC"/>
    <w:rsid w:val="004A5454"/>
    <w:rsid w:val="004B3FC4"/>
    <w:rsid w:val="004D3B2F"/>
    <w:rsid w:val="004E0884"/>
    <w:rsid w:val="004E593F"/>
    <w:rsid w:val="004F2265"/>
    <w:rsid w:val="0050051F"/>
    <w:rsid w:val="005123C4"/>
    <w:rsid w:val="005155D9"/>
    <w:rsid w:val="00532667"/>
    <w:rsid w:val="00541940"/>
    <w:rsid w:val="00541E7F"/>
    <w:rsid w:val="00542566"/>
    <w:rsid w:val="00547064"/>
    <w:rsid w:val="005526E9"/>
    <w:rsid w:val="00555C94"/>
    <w:rsid w:val="00582798"/>
    <w:rsid w:val="00593097"/>
    <w:rsid w:val="005E5722"/>
    <w:rsid w:val="00611DE1"/>
    <w:rsid w:val="0061717C"/>
    <w:rsid w:val="00621DFA"/>
    <w:rsid w:val="0064752E"/>
    <w:rsid w:val="00660091"/>
    <w:rsid w:val="006833A4"/>
    <w:rsid w:val="00683458"/>
    <w:rsid w:val="0070176E"/>
    <w:rsid w:val="00703740"/>
    <w:rsid w:val="00705584"/>
    <w:rsid w:val="00707670"/>
    <w:rsid w:val="00715983"/>
    <w:rsid w:val="00747AA8"/>
    <w:rsid w:val="00751640"/>
    <w:rsid w:val="007570E1"/>
    <w:rsid w:val="007648F3"/>
    <w:rsid w:val="007669E3"/>
    <w:rsid w:val="007859B8"/>
    <w:rsid w:val="00795A6B"/>
    <w:rsid w:val="007969DA"/>
    <w:rsid w:val="007D2E84"/>
    <w:rsid w:val="007F1989"/>
    <w:rsid w:val="00803999"/>
    <w:rsid w:val="00813DDE"/>
    <w:rsid w:val="00833067"/>
    <w:rsid w:val="008504B1"/>
    <w:rsid w:val="00874D0A"/>
    <w:rsid w:val="00877C79"/>
    <w:rsid w:val="008812F4"/>
    <w:rsid w:val="00881ED5"/>
    <w:rsid w:val="00887244"/>
    <w:rsid w:val="00887A77"/>
    <w:rsid w:val="008E1873"/>
    <w:rsid w:val="008F1ABB"/>
    <w:rsid w:val="008F6D48"/>
    <w:rsid w:val="00904EB3"/>
    <w:rsid w:val="00904ED1"/>
    <w:rsid w:val="00904F40"/>
    <w:rsid w:val="009427A8"/>
    <w:rsid w:val="0094332D"/>
    <w:rsid w:val="00952825"/>
    <w:rsid w:val="00952FDE"/>
    <w:rsid w:val="009626DD"/>
    <w:rsid w:val="009848CA"/>
    <w:rsid w:val="00994FE5"/>
    <w:rsid w:val="009A04FC"/>
    <w:rsid w:val="009B17B6"/>
    <w:rsid w:val="009D020E"/>
    <w:rsid w:val="009D1718"/>
    <w:rsid w:val="00A33DE4"/>
    <w:rsid w:val="00A86CB3"/>
    <w:rsid w:val="00AC2128"/>
    <w:rsid w:val="00AE6BB7"/>
    <w:rsid w:val="00B34924"/>
    <w:rsid w:val="00B873F9"/>
    <w:rsid w:val="00B920F5"/>
    <w:rsid w:val="00B930DB"/>
    <w:rsid w:val="00BB26AD"/>
    <w:rsid w:val="00BB4B4E"/>
    <w:rsid w:val="00BB55C0"/>
    <w:rsid w:val="00BC0A42"/>
    <w:rsid w:val="00BD3834"/>
    <w:rsid w:val="00BD3C83"/>
    <w:rsid w:val="00BF1316"/>
    <w:rsid w:val="00C14EDB"/>
    <w:rsid w:val="00C25F8D"/>
    <w:rsid w:val="00C260FB"/>
    <w:rsid w:val="00C45022"/>
    <w:rsid w:val="00C6438E"/>
    <w:rsid w:val="00C80056"/>
    <w:rsid w:val="00C958F1"/>
    <w:rsid w:val="00CB1F2E"/>
    <w:rsid w:val="00CB67F2"/>
    <w:rsid w:val="00CD1F5B"/>
    <w:rsid w:val="00CF61AA"/>
    <w:rsid w:val="00D010A4"/>
    <w:rsid w:val="00D25415"/>
    <w:rsid w:val="00D94F54"/>
    <w:rsid w:val="00DA48FB"/>
    <w:rsid w:val="00DB7DE2"/>
    <w:rsid w:val="00DC2411"/>
    <w:rsid w:val="00DC4733"/>
    <w:rsid w:val="00DD4D38"/>
    <w:rsid w:val="00E140DC"/>
    <w:rsid w:val="00E17261"/>
    <w:rsid w:val="00E3179B"/>
    <w:rsid w:val="00E5104D"/>
    <w:rsid w:val="00E84E38"/>
    <w:rsid w:val="00E9087A"/>
    <w:rsid w:val="00EA4F45"/>
    <w:rsid w:val="00EA7D46"/>
    <w:rsid w:val="00EB6A5C"/>
    <w:rsid w:val="00ED662B"/>
    <w:rsid w:val="00ED747F"/>
    <w:rsid w:val="00ED7BB4"/>
    <w:rsid w:val="00EE2D26"/>
    <w:rsid w:val="00F30668"/>
    <w:rsid w:val="00F31C28"/>
    <w:rsid w:val="00F91243"/>
    <w:rsid w:val="00FC4AEF"/>
    <w:rsid w:val="00FF0E1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D9126"/>
  <w15:chartTrackingRefBased/>
  <w15:docId w15:val="{DB1FACCF-4BCC-4BF5-BD73-BDA7B9FA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1038"/>
    <w:rPr>
      <w:b/>
      <w:bCs/>
    </w:rPr>
  </w:style>
  <w:style w:type="character" w:customStyle="1" w:styleId="fontstyle01">
    <w:name w:val="fontstyle01"/>
    <w:rsid w:val="00BD3834"/>
    <w:rPr>
      <w:rFonts w:ascii="MicrosoftYaHei" w:hAnsi="MicrosoftYaHei" w:hint="default"/>
      <w:b w:val="0"/>
      <w:bCs w:val="0"/>
      <w:i w:val="0"/>
      <w:iCs w:val="0"/>
      <w:color w:val="40404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C50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50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5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500E"/>
    <w:rPr>
      <w:sz w:val="18"/>
      <w:szCs w:val="18"/>
    </w:rPr>
  </w:style>
  <w:style w:type="paragraph" w:styleId="a9">
    <w:name w:val="No Spacing"/>
    <w:uiPriority w:val="1"/>
    <w:qFormat/>
    <w:rsid w:val="002C500E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rsid w:val="00BC0A42"/>
    <w:pPr>
      <w:ind w:firstLineChars="200" w:firstLine="420"/>
    </w:pPr>
  </w:style>
  <w:style w:type="paragraph" w:styleId="ab">
    <w:name w:val="Revision"/>
    <w:hidden/>
    <w:uiPriority w:val="99"/>
    <w:semiHidden/>
    <w:rsid w:val="00BB4B4E"/>
  </w:style>
  <w:style w:type="character" w:styleId="ac">
    <w:name w:val="Hyperlink"/>
    <w:basedOn w:val="a0"/>
    <w:uiPriority w:val="99"/>
    <w:unhideWhenUsed/>
    <w:rsid w:val="00D01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EEEEE"/>
            <w:right w:val="none" w:sz="0" w:space="0" w:color="auto"/>
          </w:divBdr>
        </w:div>
        <w:div w:id="1414668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8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Xiaochu</dc:creator>
  <cp:keywords/>
  <dc:description/>
  <cp:lastModifiedBy>曹巧波</cp:lastModifiedBy>
  <cp:revision>28</cp:revision>
  <cp:lastPrinted>2023-07-28T03:15:00Z</cp:lastPrinted>
  <dcterms:created xsi:type="dcterms:W3CDTF">2023-09-08T01:29:00Z</dcterms:created>
  <dcterms:modified xsi:type="dcterms:W3CDTF">2024-12-18T00:56:00Z</dcterms:modified>
</cp:coreProperties>
</file>