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58A5" w14:textId="77777777" w:rsidR="00722C02" w:rsidRDefault="00000000">
      <w:pPr>
        <w:spacing w:line="360" w:lineRule="auto"/>
        <w:jc w:val="center"/>
        <w:rPr>
          <w:rFonts w:ascii="新宋体" w:eastAsia="新宋体" w:hAnsi="新宋体" w:cs="新宋体" w:hint="eastAsia"/>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581F6B56" w14:textId="77777777" w:rsidR="00722C02" w:rsidRDefault="00722C02">
      <w:pPr>
        <w:spacing w:line="360" w:lineRule="auto"/>
        <w:jc w:val="center"/>
        <w:rPr>
          <w:rFonts w:ascii="宋体" w:hAnsi="宋体" w:hint="eastAsia"/>
          <w:b/>
          <w:bCs/>
          <w:color w:val="FF0000"/>
          <w:spacing w:val="-40"/>
          <w:sz w:val="32"/>
          <w:szCs w:val="32"/>
        </w:rPr>
      </w:pPr>
    </w:p>
    <w:p w14:paraId="4865A153" w14:textId="77777777" w:rsidR="00722C02" w:rsidRDefault="00000000">
      <w:pPr>
        <w:spacing w:line="360" w:lineRule="auto"/>
        <w:jc w:val="center"/>
        <w:rPr>
          <w:rFonts w:ascii="仿宋_GB2312" w:eastAsia="仿宋_GB2312" w:hint="eastAsia"/>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〔2024〕91号</w:t>
      </w:r>
    </w:p>
    <w:p w14:paraId="7DEADA3F" w14:textId="77777777" w:rsidR="00722C02" w:rsidRDefault="00000000">
      <w:pPr>
        <w:jc w:val="center"/>
        <w:rPr>
          <w:rFonts w:ascii="仿宋_GB2312" w:eastAsia="仿宋_GB2312" w:hint="eastAsia"/>
          <w:b/>
          <w:bCs/>
          <w:sz w:val="18"/>
          <w:szCs w:val="18"/>
        </w:rPr>
      </w:pPr>
      <w:r>
        <w:rPr>
          <w:rFonts w:ascii="仿宋_GB2312" w:eastAsia="仿宋_GB2312" w:hAnsi="黑体" w:cs="Times New Roman" w:hint="eastAsia"/>
          <w:b/>
          <w:sz w:val="36"/>
          <w:szCs w:val="36"/>
        </w:rPr>
        <w:pict w14:anchorId="099405E1">
          <v:line id="1026" o:spid="_x0000_s2052" style="position:absolute;left:0;text-align:left;z-index:251656704;mso-position-horizontal:right;mso-position-horizontal-relative:margin;mso-width-relative:page;mso-height-relative:page" from="1451.2pt,12.4pt" to="1865.2pt,12.85pt" strokecolor="red" strokeweight="2pt">
            <w10:wrap anchorx="margin"/>
          </v:line>
        </w:pict>
      </w:r>
    </w:p>
    <w:p w14:paraId="35C38EB6" w14:textId="28CD70FA" w:rsidR="00722C02" w:rsidRDefault="00000000">
      <w:pPr>
        <w:pStyle w:val="aa"/>
        <w:ind w:leftChars="-67" w:left="-141" w:rightChars="-94" w:right="-197" w:firstLineChars="32" w:firstLine="141"/>
        <w:rPr>
          <w:rFonts w:ascii="方正小标宋简体" w:eastAsia="方正小标宋简体" w:hAnsi="黑体" w:hint="eastAsia"/>
          <w:b w:val="0"/>
          <w:bCs w:val="0"/>
          <w:sz w:val="44"/>
          <w:szCs w:val="44"/>
        </w:rPr>
      </w:pPr>
      <w:r>
        <w:rPr>
          <w:rFonts w:ascii="方正小标宋简体" w:eastAsia="方正小标宋简体" w:hAnsi="黑体" w:hint="eastAsia"/>
          <w:b w:val="0"/>
          <w:bCs w:val="0"/>
          <w:sz w:val="44"/>
          <w:szCs w:val="44"/>
        </w:rPr>
        <w:t>关于举办“公共数据</w:t>
      </w:r>
      <w:r w:rsidR="007C00A7">
        <w:rPr>
          <w:rFonts w:ascii="方正小标宋简体" w:eastAsia="方正小标宋简体" w:hAnsi="黑体" w:hint="eastAsia"/>
          <w:b w:val="0"/>
          <w:bCs w:val="0"/>
          <w:sz w:val="44"/>
          <w:szCs w:val="44"/>
        </w:rPr>
        <w:t>资源资产</w:t>
      </w:r>
      <w:r>
        <w:rPr>
          <w:rFonts w:ascii="方正小标宋简体" w:eastAsia="方正小标宋简体" w:hAnsi="黑体" w:hint="eastAsia"/>
          <w:b w:val="0"/>
          <w:bCs w:val="0"/>
          <w:sz w:val="44"/>
          <w:szCs w:val="44"/>
        </w:rPr>
        <w:t>管理”专题研修班的通知</w:t>
      </w:r>
    </w:p>
    <w:p w14:paraId="2A469E48"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各相关单位：</w:t>
      </w:r>
    </w:p>
    <w:p w14:paraId="1EF984C7" w14:textId="4A2CCC94" w:rsidR="008678CE" w:rsidRDefault="007C00A7" w:rsidP="007C00A7">
      <w:pPr>
        <w:spacing w:line="360" w:lineRule="auto"/>
        <w:ind w:firstLineChars="200" w:firstLine="640"/>
        <w:rPr>
          <w:rFonts w:ascii="仿宋_GB2312" w:eastAsia="仿宋_GB2312"/>
          <w:sz w:val="32"/>
          <w:szCs w:val="32"/>
        </w:rPr>
      </w:pPr>
      <w:r w:rsidRPr="007C00A7">
        <w:rPr>
          <w:rFonts w:ascii="仿宋_GB2312" w:eastAsia="仿宋_GB2312" w:hint="eastAsia"/>
          <w:sz w:val="32"/>
          <w:szCs w:val="32"/>
        </w:rPr>
        <w:t>中共中央办公厅</w:t>
      </w:r>
      <w:r>
        <w:rPr>
          <w:rFonts w:ascii="仿宋_GB2312" w:eastAsia="仿宋_GB2312" w:hint="eastAsia"/>
          <w:sz w:val="32"/>
          <w:szCs w:val="32"/>
        </w:rPr>
        <w:t>、</w:t>
      </w:r>
      <w:r w:rsidRPr="007C00A7">
        <w:rPr>
          <w:rFonts w:ascii="仿宋_GB2312" w:eastAsia="仿宋_GB2312" w:hint="eastAsia"/>
          <w:sz w:val="32"/>
          <w:szCs w:val="32"/>
        </w:rPr>
        <w:t>国务院办公厅</w:t>
      </w:r>
      <w:r>
        <w:rPr>
          <w:rFonts w:ascii="仿宋_GB2312" w:eastAsia="仿宋_GB2312" w:hint="eastAsia"/>
          <w:sz w:val="32"/>
          <w:szCs w:val="32"/>
        </w:rPr>
        <w:t>于2024年9月发布《</w:t>
      </w:r>
      <w:r w:rsidRPr="007C00A7">
        <w:rPr>
          <w:rFonts w:ascii="仿宋_GB2312" w:eastAsia="仿宋_GB2312" w:hint="eastAsia"/>
          <w:sz w:val="32"/>
          <w:szCs w:val="32"/>
        </w:rPr>
        <w:t>关于加快公共数据资源开发利用的意见</w:t>
      </w:r>
      <w:r>
        <w:rPr>
          <w:rFonts w:ascii="仿宋_GB2312" w:eastAsia="仿宋_GB2312" w:hint="eastAsia"/>
          <w:sz w:val="32"/>
          <w:szCs w:val="32"/>
        </w:rPr>
        <w:t>》</w:t>
      </w:r>
      <w:r w:rsidR="00000000">
        <w:rPr>
          <w:rFonts w:ascii="仿宋_GB2312" w:eastAsia="仿宋_GB2312" w:hint="eastAsia"/>
          <w:sz w:val="32"/>
          <w:szCs w:val="32"/>
        </w:rPr>
        <w:t>，</w:t>
      </w:r>
      <w:r w:rsidRPr="007C00A7">
        <w:rPr>
          <w:rFonts w:ascii="仿宋_GB2312" w:eastAsia="仿宋_GB2312" w:hint="eastAsia"/>
          <w:sz w:val="32"/>
          <w:szCs w:val="32"/>
        </w:rPr>
        <w:t>加快公共数据资源开发利用，充分释放公共数据要素潜能，推动高质量发展</w:t>
      </w:r>
      <w:r w:rsidR="008678CE">
        <w:rPr>
          <w:rFonts w:ascii="仿宋_GB2312" w:eastAsia="仿宋_GB2312" w:hint="eastAsia"/>
          <w:sz w:val="32"/>
          <w:szCs w:val="32"/>
        </w:rPr>
        <w:t>。</w:t>
      </w:r>
      <w:r w:rsidR="008678CE" w:rsidRPr="008678CE">
        <w:rPr>
          <w:rFonts w:ascii="仿宋_GB2312" w:eastAsia="仿宋_GB2312" w:hint="eastAsia"/>
          <w:sz w:val="32"/>
          <w:szCs w:val="32"/>
        </w:rPr>
        <w:t>中央层面首次对公共数据资源开发利用进行系统部署，释放了鼓励发展的鲜明政策导向，对数据资源开发利用具有里程碑意义。</w:t>
      </w:r>
    </w:p>
    <w:p w14:paraId="4F0D5CD9" w14:textId="1BDC4EDE" w:rsidR="008678CE" w:rsidRDefault="008678CE" w:rsidP="007C00A7">
      <w:pPr>
        <w:spacing w:line="360" w:lineRule="auto"/>
        <w:ind w:firstLineChars="200" w:firstLine="640"/>
        <w:rPr>
          <w:rFonts w:ascii="仿宋_GB2312" w:eastAsia="仿宋_GB2312"/>
          <w:sz w:val="32"/>
          <w:szCs w:val="32"/>
        </w:rPr>
      </w:pPr>
      <w:r w:rsidRPr="008678CE">
        <w:rPr>
          <w:rFonts w:ascii="仿宋_GB2312" w:eastAsia="仿宋_GB2312" w:hint="eastAsia"/>
          <w:sz w:val="32"/>
          <w:szCs w:val="32"/>
        </w:rPr>
        <w:t>当前，我们正处在数字化时代，数据资源已成为</w:t>
      </w:r>
      <w:proofErr w:type="gramStart"/>
      <w:r w:rsidRPr="008678CE">
        <w:rPr>
          <w:rFonts w:ascii="仿宋_GB2312" w:eastAsia="仿宋_GB2312" w:hint="eastAsia"/>
          <w:sz w:val="32"/>
          <w:szCs w:val="32"/>
        </w:rPr>
        <w:t>最</w:t>
      </w:r>
      <w:proofErr w:type="gramEnd"/>
      <w:r w:rsidRPr="008678CE">
        <w:rPr>
          <w:rFonts w:ascii="仿宋_GB2312" w:eastAsia="仿宋_GB2312" w:hint="eastAsia"/>
          <w:sz w:val="32"/>
          <w:szCs w:val="32"/>
        </w:rPr>
        <w:t>核心的生产要素。其中，各级党政机关、企事业单位依法履职或提供公共服务过程中产生的公共数据，具有规模庞大、覆盖面广、权威性强等特点，是国家重要的基础性战略资源，在赋能实体经济、扩大消费需求、拓展投资空间、提升治理能力等方面应用前景广阔。</w:t>
      </w:r>
    </w:p>
    <w:p w14:paraId="7232F28A" w14:textId="7E2B1796" w:rsidR="00722C02" w:rsidRDefault="00000000" w:rsidP="007C00A7">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根据财政部《关于加强行政事业单位数据资产管理的通</w:t>
      </w:r>
      <w:r>
        <w:rPr>
          <w:rFonts w:ascii="仿宋_GB2312" w:eastAsia="仿宋_GB2312" w:hint="eastAsia"/>
          <w:sz w:val="32"/>
          <w:szCs w:val="32"/>
        </w:rPr>
        <w:lastRenderedPageBreak/>
        <w:t>知》，各部门及其所属单位要按照国家</w:t>
      </w:r>
      <w:r w:rsidR="008678CE">
        <w:rPr>
          <w:rFonts w:ascii="仿宋_GB2312" w:eastAsia="仿宋_GB2312" w:hint="eastAsia"/>
          <w:sz w:val="32"/>
          <w:szCs w:val="32"/>
        </w:rPr>
        <w:t>相关</w:t>
      </w:r>
      <w:r>
        <w:rPr>
          <w:rFonts w:ascii="仿宋_GB2312" w:eastAsia="仿宋_GB2312" w:hint="eastAsia"/>
          <w:sz w:val="32"/>
          <w:szCs w:val="32"/>
        </w:rPr>
        <w:t>规定切实加强行政事业单位数据资产管理，因地制宜探索数据资产管理模式，充分实现数据要素价值，更好发挥数据资产对推动数字经济发展的支撑作用。各省市数据局、数据集团纷纷响应通知要求，推出</w:t>
      </w:r>
      <w:r w:rsidR="00204DDE">
        <w:rPr>
          <w:rFonts w:ascii="仿宋_GB2312" w:eastAsia="仿宋_GB2312" w:hint="eastAsia"/>
          <w:sz w:val="32"/>
          <w:szCs w:val="32"/>
        </w:rPr>
        <w:t>公共</w:t>
      </w:r>
      <w:r>
        <w:rPr>
          <w:rFonts w:ascii="仿宋_GB2312" w:eastAsia="仿宋_GB2312" w:hint="eastAsia"/>
          <w:sz w:val="32"/>
          <w:szCs w:val="32"/>
        </w:rPr>
        <w:t>数据</w:t>
      </w:r>
      <w:r w:rsidR="00204DDE">
        <w:rPr>
          <w:rFonts w:ascii="仿宋_GB2312" w:eastAsia="仿宋_GB2312" w:hint="eastAsia"/>
          <w:sz w:val="32"/>
          <w:szCs w:val="32"/>
        </w:rPr>
        <w:t>资源</w:t>
      </w:r>
      <w:r>
        <w:rPr>
          <w:rFonts w:ascii="仿宋_GB2312" w:eastAsia="仿宋_GB2312" w:hint="eastAsia"/>
          <w:sz w:val="32"/>
          <w:szCs w:val="32"/>
        </w:rPr>
        <w:t>资产管理细则，规范公共数据</w:t>
      </w:r>
      <w:r w:rsidR="00204DDE">
        <w:rPr>
          <w:rFonts w:ascii="仿宋_GB2312" w:eastAsia="仿宋_GB2312" w:hint="eastAsia"/>
          <w:sz w:val="32"/>
          <w:szCs w:val="32"/>
        </w:rPr>
        <w:t>资源</w:t>
      </w:r>
      <w:r>
        <w:rPr>
          <w:rFonts w:ascii="仿宋_GB2312" w:eastAsia="仿宋_GB2312" w:hint="eastAsia"/>
          <w:sz w:val="32"/>
          <w:szCs w:val="32"/>
        </w:rPr>
        <w:t>授权运营管理，推进公共数据</w:t>
      </w:r>
      <w:r w:rsidR="00204DDE">
        <w:rPr>
          <w:rFonts w:ascii="仿宋_GB2312" w:eastAsia="仿宋_GB2312" w:hint="eastAsia"/>
          <w:sz w:val="32"/>
          <w:szCs w:val="32"/>
        </w:rPr>
        <w:t>资源</w:t>
      </w:r>
      <w:r>
        <w:rPr>
          <w:rFonts w:ascii="仿宋_GB2312" w:eastAsia="仿宋_GB2312" w:hint="eastAsia"/>
          <w:sz w:val="32"/>
          <w:szCs w:val="32"/>
        </w:rPr>
        <w:t>开发利用。公共数据</w:t>
      </w:r>
      <w:r w:rsidR="00204DDE">
        <w:rPr>
          <w:rFonts w:ascii="仿宋_GB2312" w:eastAsia="仿宋_GB2312" w:hint="eastAsia"/>
          <w:sz w:val="32"/>
          <w:szCs w:val="32"/>
        </w:rPr>
        <w:t>资源</w:t>
      </w:r>
      <w:r>
        <w:rPr>
          <w:rFonts w:ascii="仿宋_GB2312" w:eastAsia="仿宋_GB2312" w:hint="eastAsia"/>
          <w:sz w:val="32"/>
          <w:szCs w:val="32"/>
        </w:rPr>
        <w:t>资产管理的序幕正逐渐拉开。</w:t>
      </w:r>
    </w:p>
    <w:p w14:paraId="278F95CA" w14:textId="16D6CCAC" w:rsidR="00722C02" w:rsidRDefault="00000000">
      <w:pPr>
        <w:widowControl/>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上海国家会计学院从自身的培训资源与优势出发，2024年推出“公共数据</w:t>
      </w:r>
      <w:r w:rsidR="007C00A7">
        <w:rPr>
          <w:rFonts w:ascii="仿宋_GB2312" w:eastAsia="仿宋_GB2312" w:hAnsi="Songti SC" w:cs="Times New Roman" w:hint="eastAsia"/>
          <w:sz w:val="32"/>
          <w:szCs w:val="32"/>
        </w:rPr>
        <w:t>资源</w:t>
      </w:r>
      <w:r>
        <w:rPr>
          <w:rFonts w:ascii="仿宋_GB2312" w:eastAsia="仿宋_GB2312" w:hAnsi="Songti SC" w:cs="Times New Roman" w:hint="eastAsia"/>
          <w:sz w:val="32"/>
          <w:szCs w:val="32"/>
        </w:rPr>
        <w:t>资产管理”专题研修班，欢迎各相关单位组织人员参加培训学习。</w:t>
      </w:r>
    </w:p>
    <w:p w14:paraId="4A723163" w14:textId="77777777" w:rsidR="00722C02" w:rsidRDefault="00722C02">
      <w:pPr>
        <w:spacing w:line="360" w:lineRule="auto"/>
        <w:ind w:firstLineChars="200" w:firstLine="640"/>
        <w:rPr>
          <w:rFonts w:ascii="仿宋_GB2312" w:eastAsia="仿宋_GB2312" w:hint="eastAsia"/>
          <w:sz w:val="32"/>
          <w:szCs w:val="32"/>
        </w:rPr>
      </w:pPr>
    </w:p>
    <w:p w14:paraId="19DD75FD" w14:textId="77777777" w:rsidR="00722C02" w:rsidRDefault="00000000">
      <w:pPr>
        <w:widowControl/>
        <w:spacing w:line="360" w:lineRule="auto"/>
        <w:ind w:firstLineChars="200" w:firstLine="640"/>
        <w:jc w:val="left"/>
        <w:rPr>
          <w:rFonts w:ascii="仿宋_GB2312" w:eastAsia="仿宋_GB2312" w:hAnsi="Songti SC" w:hint="eastAsia"/>
          <w:sz w:val="32"/>
          <w:szCs w:val="32"/>
        </w:rPr>
      </w:pPr>
      <w:r>
        <w:rPr>
          <w:rFonts w:ascii="仿宋_GB2312" w:eastAsia="仿宋_GB2312" w:hAnsi="Songti SC" w:hint="eastAsia"/>
          <w:sz w:val="32"/>
          <w:szCs w:val="32"/>
        </w:rPr>
        <w:t>附件一：课程简介</w:t>
      </w:r>
    </w:p>
    <w:p w14:paraId="60042846" w14:textId="77777777" w:rsidR="00722C02" w:rsidRDefault="00000000">
      <w:pPr>
        <w:widowControl/>
        <w:spacing w:line="360" w:lineRule="auto"/>
        <w:ind w:firstLineChars="200" w:firstLine="640"/>
        <w:jc w:val="left"/>
        <w:rPr>
          <w:rFonts w:ascii="仿宋_GB2312" w:eastAsia="仿宋_GB2312" w:hAnsi="Songti SC" w:hint="eastAsia"/>
          <w:sz w:val="32"/>
          <w:szCs w:val="32"/>
        </w:rPr>
      </w:pPr>
      <w:r>
        <w:rPr>
          <w:rFonts w:ascii="仿宋_GB2312" w:eastAsia="仿宋_GB2312" w:hAnsi="Songti SC" w:hint="eastAsia"/>
          <w:sz w:val="32"/>
          <w:szCs w:val="32"/>
        </w:rPr>
        <w:t>附件二、报名回执表</w:t>
      </w:r>
    </w:p>
    <w:p w14:paraId="50F1864C" w14:textId="77777777" w:rsidR="00722C02" w:rsidRDefault="00722C02">
      <w:pPr>
        <w:spacing w:line="360" w:lineRule="auto"/>
        <w:rPr>
          <w:rFonts w:ascii="仿宋_GB2312" w:eastAsia="仿宋_GB2312" w:hAnsi="华文中宋" w:hint="eastAsia"/>
          <w:sz w:val="32"/>
          <w:szCs w:val="32"/>
        </w:rPr>
      </w:pPr>
    </w:p>
    <w:p w14:paraId="5CB9FF3A" w14:textId="77777777" w:rsidR="00722C02" w:rsidRDefault="00722C02">
      <w:pPr>
        <w:spacing w:line="360" w:lineRule="auto"/>
        <w:ind w:firstLineChars="1000" w:firstLine="3200"/>
        <w:rPr>
          <w:rFonts w:ascii="仿宋_GB2312" w:eastAsia="仿宋_GB2312" w:hAnsi="Songti SC" w:hint="eastAsia"/>
          <w:sz w:val="32"/>
          <w:szCs w:val="32"/>
        </w:rPr>
      </w:pPr>
    </w:p>
    <w:p w14:paraId="66814A4E" w14:textId="77777777" w:rsidR="00722C02" w:rsidRDefault="00000000">
      <w:pPr>
        <w:spacing w:line="360" w:lineRule="auto"/>
        <w:ind w:firstLineChars="1300" w:firstLine="4160"/>
        <w:rPr>
          <w:rFonts w:ascii="仿宋_GB2312" w:eastAsia="仿宋_GB2312" w:hAnsi="Songti SC" w:hint="eastAsia"/>
          <w:sz w:val="32"/>
          <w:szCs w:val="32"/>
        </w:rPr>
      </w:pPr>
      <w:r>
        <w:rPr>
          <w:rFonts w:ascii="仿宋_GB2312" w:eastAsia="仿宋_GB2312" w:hAnsi="Songti SC" w:hint="eastAsia"/>
          <w:sz w:val="32"/>
          <w:szCs w:val="32"/>
        </w:rPr>
        <w:t>上海国家会计学院教务二部</w:t>
      </w:r>
    </w:p>
    <w:p w14:paraId="090C844E" w14:textId="6C87C16D" w:rsidR="00722C02" w:rsidRDefault="00000000">
      <w:pPr>
        <w:spacing w:line="360" w:lineRule="auto"/>
        <w:ind w:firstLineChars="1900" w:firstLine="6080"/>
        <w:rPr>
          <w:rFonts w:ascii="仿宋_GB2312" w:eastAsia="仿宋_GB2312" w:hAnsi="Songti SC" w:hint="eastAsia"/>
          <w:sz w:val="32"/>
          <w:szCs w:val="32"/>
        </w:rPr>
      </w:pPr>
      <w:r>
        <w:rPr>
          <w:rFonts w:ascii="仿宋_GB2312" w:eastAsia="仿宋_GB2312" w:hAnsi="Songti SC" w:hint="eastAsia"/>
          <w:sz w:val="32"/>
          <w:szCs w:val="32"/>
        </w:rPr>
        <w:t>2024年</w:t>
      </w:r>
      <w:r w:rsidR="007C00A7">
        <w:rPr>
          <w:rFonts w:ascii="仿宋_GB2312" w:eastAsia="仿宋_GB2312" w:hAnsi="Songti SC" w:hint="eastAsia"/>
          <w:sz w:val="32"/>
          <w:szCs w:val="32"/>
        </w:rPr>
        <w:t>10</w:t>
      </w:r>
      <w:r>
        <w:rPr>
          <w:rFonts w:ascii="仿宋_GB2312" w:eastAsia="仿宋_GB2312" w:hAnsi="Songti SC" w:hint="eastAsia"/>
          <w:sz w:val="32"/>
          <w:szCs w:val="32"/>
        </w:rPr>
        <w:t>月</w:t>
      </w:r>
    </w:p>
    <w:p w14:paraId="403C6260" w14:textId="77777777" w:rsidR="00722C02" w:rsidRDefault="00722C02">
      <w:pPr>
        <w:spacing w:line="360" w:lineRule="auto"/>
        <w:ind w:firstLineChars="200" w:firstLine="640"/>
        <w:rPr>
          <w:rFonts w:ascii="仿宋_GB2312" w:eastAsia="仿宋_GB2312" w:hint="eastAsia"/>
          <w:sz w:val="32"/>
          <w:szCs w:val="32"/>
        </w:rPr>
      </w:pPr>
    </w:p>
    <w:p w14:paraId="61834E89" w14:textId="77777777" w:rsidR="00722C02" w:rsidRDefault="00722C02">
      <w:pPr>
        <w:spacing w:line="360" w:lineRule="auto"/>
        <w:rPr>
          <w:rFonts w:ascii="仿宋_GB2312" w:eastAsia="仿宋_GB2312" w:hAnsi="华文中宋" w:hint="eastAsia"/>
          <w:sz w:val="32"/>
          <w:szCs w:val="32"/>
        </w:rPr>
      </w:pPr>
    </w:p>
    <w:p w14:paraId="05A6D949" w14:textId="77777777" w:rsidR="00643AF1" w:rsidRDefault="00643AF1">
      <w:pPr>
        <w:spacing w:line="360" w:lineRule="auto"/>
        <w:rPr>
          <w:rFonts w:ascii="仿宋_GB2312" w:eastAsia="仿宋_GB2312" w:hAnsi="华文中宋" w:hint="eastAsia"/>
          <w:sz w:val="32"/>
          <w:szCs w:val="32"/>
        </w:rPr>
      </w:pPr>
    </w:p>
    <w:p w14:paraId="0568DA61" w14:textId="77777777" w:rsidR="00722C02" w:rsidRDefault="00000000">
      <w:pPr>
        <w:wordWrap w:val="0"/>
        <w:ind w:firstLineChars="100" w:firstLine="320"/>
        <w:jc w:val="right"/>
        <w:rPr>
          <w:rFonts w:ascii="仿宋_GB2312" w:eastAsia="仿宋_GB2312" w:hAnsi="宋体" w:hint="eastAsia"/>
          <w:sz w:val="32"/>
          <w:szCs w:val="32"/>
        </w:rPr>
      </w:pPr>
      <w:r>
        <w:rPr>
          <w:rFonts w:ascii="仿宋_GB2312" w:eastAsia="仿宋_GB2312" w:hAnsi="宋体" w:hint="eastAsia"/>
          <w:sz w:val="32"/>
          <w:szCs w:val="32"/>
        </w:rPr>
        <w:pict w14:anchorId="0EB23998">
          <v:line id="1027" o:spid="_x0000_s2051" style="position:absolute;left:0;text-align:left;flip:y;z-index:251657728;mso-width-relative:page;mso-height-relative:page" from="-8.9pt,18pt" to="428.9pt,18pt" strokeweight="1.25pt"/>
        </w:pict>
      </w:r>
    </w:p>
    <w:p w14:paraId="4D9ECFA0" w14:textId="70961750" w:rsidR="00722C02" w:rsidRPr="00643AF1" w:rsidRDefault="00000000" w:rsidP="00643AF1">
      <w:pPr>
        <w:spacing w:line="360" w:lineRule="exact"/>
        <w:jc w:val="left"/>
        <w:rPr>
          <w:rFonts w:ascii="仿宋_GB2312" w:eastAsia="仿宋_GB2312" w:hAnsi="宋体" w:hint="eastAsia"/>
          <w:color w:val="000000"/>
          <w:sz w:val="30"/>
          <w:szCs w:val="30"/>
        </w:rPr>
      </w:pPr>
      <w:r>
        <w:rPr>
          <w:rFonts w:ascii="仿宋_GB2312" w:eastAsia="仿宋_GB2312" w:hAnsi="宋体" w:hint="eastAsia"/>
          <w:sz w:val="30"/>
          <w:szCs w:val="30"/>
        </w:rPr>
        <w:t>上海国家会计学院</w:t>
      </w:r>
      <w:r>
        <w:rPr>
          <w:rFonts w:ascii="仿宋_GB2312" w:eastAsia="仿宋_GB2312" w:hAnsi="Songti SC" w:hint="eastAsia"/>
          <w:sz w:val="32"/>
          <w:szCs w:val="32"/>
        </w:rPr>
        <w:t xml:space="preserve">教务二部 </w:t>
      </w:r>
      <w:r>
        <w:rPr>
          <w:rFonts w:ascii="仿宋_GB2312" w:eastAsia="仿宋_GB2312" w:hAnsi="Songti SC"/>
          <w:sz w:val="32"/>
          <w:szCs w:val="32"/>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2024年</w:t>
      </w:r>
      <w:r w:rsidR="007C00A7">
        <w:rPr>
          <w:rFonts w:ascii="仿宋_GB2312" w:eastAsia="仿宋_GB2312" w:hAnsi="宋体" w:hint="eastAsia"/>
          <w:sz w:val="30"/>
          <w:szCs w:val="30"/>
        </w:rPr>
        <w:t>10</w:t>
      </w:r>
      <w:r>
        <w:rPr>
          <w:rFonts w:ascii="仿宋_GB2312" w:eastAsia="仿宋_GB2312" w:hAnsi="宋体" w:hint="eastAsia"/>
          <w:sz w:val="30"/>
          <w:szCs w:val="30"/>
        </w:rPr>
        <w:t>月印</w:t>
      </w:r>
    </w:p>
    <w:p w14:paraId="60900FBB" w14:textId="77777777" w:rsidR="00722C02" w:rsidRDefault="00000000">
      <w:pPr>
        <w:pStyle w:val="af"/>
        <w:spacing w:beforeLines="50" w:before="156" w:line="300" w:lineRule="exact"/>
        <w:rPr>
          <w:rFonts w:ascii="黑体" w:eastAsia="黑体" w:hAnsi="黑体" w:cs="宋体" w:hint="eastAsia"/>
          <w:kern w:val="0"/>
          <w:sz w:val="24"/>
          <w:szCs w:val="24"/>
        </w:rPr>
      </w:pPr>
      <w:r>
        <w:rPr>
          <w:rFonts w:ascii="黑体" w:eastAsia="黑体" w:hAnsi="黑体" w:cs="宋体" w:hint="eastAsia"/>
          <w:kern w:val="0"/>
          <w:sz w:val="24"/>
          <w:szCs w:val="24"/>
        </w:rPr>
        <w:pict w14:anchorId="6658402D">
          <v:line id="1028" o:spid="_x0000_s2050" style="position:absolute;left:0;text-align:left;flip:y;z-index:251658752;mso-width-relative:page;mso-height-relative:page" from="-8.65pt,9.65pt" to="429.15pt,9.65pt" strokeweight="1.25pt"/>
        </w:pict>
      </w:r>
    </w:p>
    <w:p w14:paraId="11B85446" w14:textId="77777777" w:rsidR="00722C02" w:rsidRDefault="00000000">
      <w:pPr>
        <w:pStyle w:val="af"/>
        <w:spacing w:beforeLines="50" w:before="156" w:line="410" w:lineRule="exact"/>
        <w:rPr>
          <w:rFonts w:ascii="Songti SC" w:eastAsia="Songti SC" w:hAnsi="Songti SC" w:cs="宋体" w:hint="eastAsia"/>
          <w:b/>
          <w:bCs/>
          <w:kern w:val="0"/>
          <w:sz w:val="32"/>
          <w:szCs w:val="32"/>
        </w:rPr>
      </w:pPr>
      <w:r>
        <w:rPr>
          <w:rFonts w:ascii="Songti SC" w:eastAsia="Songti SC" w:hAnsi="Songti SC" w:cs="宋体" w:hint="eastAsia"/>
          <w:b/>
          <w:bCs/>
          <w:kern w:val="0"/>
          <w:sz w:val="32"/>
          <w:szCs w:val="32"/>
        </w:rPr>
        <w:lastRenderedPageBreak/>
        <w:t>附件一：课程简介</w:t>
      </w:r>
    </w:p>
    <w:p w14:paraId="6785C503" w14:textId="77777777" w:rsidR="00722C02" w:rsidRDefault="00000000">
      <w:pPr>
        <w:pStyle w:val="af"/>
        <w:spacing w:beforeLines="50" w:before="156" w:line="410" w:lineRule="exact"/>
        <w:rPr>
          <w:rFonts w:ascii="黑体" w:eastAsia="黑体" w:hAnsi="黑体" w:cs="宋体" w:hint="eastAsia"/>
          <w:sz w:val="32"/>
          <w:szCs w:val="32"/>
        </w:rPr>
      </w:pPr>
      <w:r>
        <w:rPr>
          <w:rFonts w:ascii="黑体" w:eastAsia="黑体" w:hAnsi="黑体" w:cs="宋体" w:hint="eastAsia"/>
          <w:sz w:val="32"/>
          <w:szCs w:val="32"/>
        </w:rPr>
        <w:t>一、培训安排</w:t>
      </w:r>
    </w:p>
    <w:tbl>
      <w:tblPr>
        <w:tblStyle w:val="ac"/>
        <w:tblW w:w="8330" w:type="dxa"/>
        <w:tblLayout w:type="fixed"/>
        <w:tblLook w:val="04A0" w:firstRow="1" w:lastRow="0" w:firstColumn="1" w:lastColumn="0" w:noHBand="0" w:noVBand="1"/>
      </w:tblPr>
      <w:tblGrid>
        <w:gridCol w:w="6062"/>
        <w:gridCol w:w="2268"/>
      </w:tblGrid>
      <w:tr w:rsidR="0070258D" w14:paraId="525B3883" w14:textId="77777777" w:rsidTr="0070258D">
        <w:trPr>
          <w:trHeight w:val="414"/>
        </w:trPr>
        <w:tc>
          <w:tcPr>
            <w:tcW w:w="6062" w:type="dxa"/>
            <w:noWrap/>
            <w:vAlign w:val="center"/>
          </w:tcPr>
          <w:p w14:paraId="7299CD85" w14:textId="77777777" w:rsidR="0070258D" w:rsidRPr="007F3057" w:rsidRDefault="0070258D">
            <w:pPr>
              <w:widowControl/>
              <w:spacing w:line="400" w:lineRule="exact"/>
              <w:jc w:val="center"/>
              <w:rPr>
                <w:rFonts w:ascii="仿宋_GB2312" w:eastAsia="仿宋_GB2312" w:hAnsi="等线" w:cs="宋体" w:hint="eastAsia"/>
                <w:b/>
                <w:bCs/>
                <w:sz w:val="32"/>
                <w:szCs w:val="32"/>
              </w:rPr>
            </w:pPr>
            <w:r w:rsidRPr="007F3057">
              <w:rPr>
                <w:rFonts w:ascii="仿宋_GB2312" w:eastAsia="仿宋_GB2312" w:hAnsi="等线" w:cs="宋体" w:hint="eastAsia"/>
                <w:b/>
                <w:bCs/>
                <w:sz w:val="32"/>
                <w:szCs w:val="32"/>
              </w:rPr>
              <w:t>培训时间</w:t>
            </w:r>
          </w:p>
        </w:tc>
        <w:tc>
          <w:tcPr>
            <w:tcW w:w="2268" w:type="dxa"/>
            <w:noWrap/>
            <w:vAlign w:val="center"/>
          </w:tcPr>
          <w:p w14:paraId="116E5FBB" w14:textId="77777777" w:rsidR="0070258D" w:rsidRPr="007F3057" w:rsidRDefault="0070258D">
            <w:pPr>
              <w:widowControl/>
              <w:spacing w:line="400" w:lineRule="exact"/>
              <w:jc w:val="center"/>
              <w:rPr>
                <w:rFonts w:ascii="仿宋_GB2312" w:eastAsia="仿宋_GB2312" w:hAnsi="等线" w:cs="宋体" w:hint="eastAsia"/>
                <w:b/>
                <w:bCs/>
                <w:sz w:val="32"/>
                <w:szCs w:val="32"/>
              </w:rPr>
            </w:pPr>
            <w:r w:rsidRPr="007F3057">
              <w:rPr>
                <w:rFonts w:ascii="仿宋_GB2312" w:eastAsia="仿宋_GB2312" w:hAnsi="等线" w:cs="宋体" w:hint="eastAsia"/>
                <w:b/>
                <w:bCs/>
                <w:sz w:val="32"/>
                <w:szCs w:val="32"/>
              </w:rPr>
              <w:t>地点</w:t>
            </w:r>
          </w:p>
        </w:tc>
      </w:tr>
      <w:tr w:rsidR="0070258D" w14:paraId="4ED1D68D" w14:textId="77777777" w:rsidTr="0070258D">
        <w:trPr>
          <w:trHeight w:val="567"/>
        </w:trPr>
        <w:tc>
          <w:tcPr>
            <w:tcW w:w="6062" w:type="dxa"/>
            <w:noWrap/>
            <w:vAlign w:val="center"/>
          </w:tcPr>
          <w:p w14:paraId="3550A8BC" w14:textId="7579E9C8" w:rsidR="0070258D" w:rsidRDefault="0070258D">
            <w:pPr>
              <w:widowControl/>
              <w:spacing w:line="400" w:lineRule="exact"/>
              <w:jc w:val="center"/>
              <w:rPr>
                <w:rFonts w:ascii="仿宋_GB2312" w:eastAsia="仿宋_GB2312" w:hAnsi="仿宋" w:cs="仿宋" w:hint="eastAsia"/>
                <w:kern w:val="0"/>
                <w:sz w:val="28"/>
                <w:szCs w:val="28"/>
              </w:rPr>
            </w:pPr>
            <w:r>
              <w:rPr>
                <w:rFonts w:ascii="仿宋_GB2312" w:eastAsia="仿宋_GB2312" w:hAnsi="仿宋" w:cs="仿宋" w:hint="eastAsia"/>
                <w:kern w:val="0"/>
                <w:sz w:val="28"/>
                <w:szCs w:val="28"/>
              </w:rPr>
              <w:t>12月16日-12月19日（16日报到，19日返程）</w:t>
            </w:r>
          </w:p>
        </w:tc>
        <w:tc>
          <w:tcPr>
            <w:tcW w:w="2268" w:type="dxa"/>
            <w:noWrap/>
            <w:vAlign w:val="center"/>
          </w:tcPr>
          <w:p w14:paraId="726604C4" w14:textId="77777777" w:rsidR="0070258D" w:rsidRDefault="0070258D">
            <w:pPr>
              <w:widowControl/>
              <w:spacing w:line="400" w:lineRule="exact"/>
              <w:jc w:val="center"/>
              <w:rPr>
                <w:rFonts w:ascii="仿宋_GB2312" w:eastAsia="仿宋_GB2312" w:hAnsi="仿宋" w:cs="仿宋" w:hint="eastAsia"/>
                <w:kern w:val="0"/>
                <w:sz w:val="28"/>
                <w:szCs w:val="28"/>
              </w:rPr>
            </w:pPr>
            <w:r>
              <w:rPr>
                <w:rFonts w:ascii="仿宋_GB2312" w:eastAsia="仿宋_GB2312" w:hAnsi="仿宋" w:cs="仿宋" w:hint="eastAsia"/>
                <w:kern w:val="0"/>
                <w:sz w:val="28"/>
                <w:szCs w:val="28"/>
              </w:rPr>
              <w:t>上海</w:t>
            </w:r>
          </w:p>
        </w:tc>
      </w:tr>
    </w:tbl>
    <w:p w14:paraId="6CF7BD98"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二、培训对象：</w:t>
      </w:r>
    </w:p>
    <w:p w14:paraId="773160AF"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1、各省市数据管理局、大数据局和相关部门下属的数据管理机构；</w:t>
      </w:r>
    </w:p>
    <w:p w14:paraId="3C570C24"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2、 经依法授权具有管理公共事务职能的国家机关、事业单位（财政、国资、工信、金融、卫生健康、医院等），以及供水、供电、供气、公共交通等提供公共服务的组织；</w:t>
      </w:r>
    </w:p>
    <w:p w14:paraId="72799093"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3、公共数据开放平台；</w:t>
      </w:r>
    </w:p>
    <w:p w14:paraId="3CAC4CE4"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4、公共数据开发主体和运营主体；</w:t>
      </w:r>
    </w:p>
    <w:p w14:paraId="390E997A"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5、为公共数据资产管理开放开发提供专业服务的机构（会计师事务所、评估机构、律师事务所等）。</w:t>
      </w:r>
    </w:p>
    <w:p w14:paraId="00229E36" w14:textId="0559EFA8"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三、课程目标</w:t>
      </w:r>
    </w:p>
    <w:p w14:paraId="4B1C3CA2"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准确和完整把握公共数据资产相关政策；</w:t>
      </w:r>
    </w:p>
    <w:p w14:paraId="154EE37B"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了解公共数据资产的定义和社会经济价值；</w:t>
      </w:r>
    </w:p>
    <w:p w14:paraId="0E799245"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全面了解公共数据授权运营的路径和方法；</w:t>
      </w:r>
    </w:p>
    <w:p w14:paraId="68ED1776"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系统学习公共数据管理和质量评估；</w:t>
      </w:r>
    </w:p>
    <w:p w14:paraId="6AAA051F"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系统学习公共数据资产合</w:t>
      </w:r>
      <w:proofErr w:type="gramStart"/>
      <w:r>
        <w:rPr>
          <w:rFonts w:ascii="仿宋_GB2312" w:eastAsia="仿宋_GB2312" w:hint="eastAsia"/>
          <w:sz w:val="32"/>
          <w:szCs w:val="32"/>
        </w:rPr>
        <w:t>规</w:t>
      </w:r>
      <w:proofErr w:type="gramEnd"/>
      <w:r>
        <w:rPr>
          <w:rFonts w:ascii="仿宋_GB2312" w:eastAsia="仿宋_GB2312" w:hint="eastAsia"/>
          <w:sz w:val="32"/>
          <w:szCs w:val="32"/>
        </w:rPr>
        <w:t>和安全；</w:t>
      </w:r>
    </w:p>
    <w:p w14:paraId="17936EC0" w14:textId="77777777" w:rsidR="00722C02" w:rsidRDefault="00000000">
      <w:pPr>
        <w:numPr>
          <w:ilvl w:val="0"/>
          <w:numId w:val="1"/>
        </w:numPr>
        <w:spacing w:line="360" w:lineRule="auto"/>
        <w:rPr>
          <w:rFonts w:ascii="仿宋_GB2312" w:eastAsia="仿宋_GB2312" w:hint="eastAsia"/>
          <w:sz w:val="32"/>
          <w:szCs w:val="32"/>
        </w:rPr>
      </w:pPr>
      <w:r>
        <w:rPr>
          <w:rFonts w:ascii="仿宋_GB2312" w:eastAsia="仿宋_GB2312" w:hint="eastAsia"/>
          <w:sz w:val="32"/>
          <w:szCs w:val="32"/>
        </w:rPr>
        <w:t>剖析典型案例，充分交流研讨。</w:t>
      </w:r>
    </w:p>
    <w:p w14:paraId="0E0C723A"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四、培训内容：</w:t>
      </w:r>
    </w:p>
    <w:p w14:paraId="0E86D093" w14:textId="700FF24A"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（一）公共数据</w:t>
      </w:r>
      <w:r w:rsidR="0088067E">
        <w:rPr>
          <w:rFonts w:ascii="仿宋_GB2312" w:eastAsia="仿宋_GB2312" w:hint="eastAsia"/>
          <w:sz w:val="32"/>
          <w:szCs w:val="32"/>
        </w:rPr>
        <w:t>资源</w:t>
      </w:r>
      <w:r>
        <w:rPr>
          <w:rFonts w:ascii="仿宋_GB2312" w:eastAsia="仿宋_GB2312" w:hint="eastAsia"/>
          <w:sz w:val="32"/>
          <w:szCs w:val="32"/>
        </w:rPr>
        <w:t>相关政策解读</w:t>
      </w:r>
    </w:p>
    <w:p w14:paraId="44D4FC15" w14:textId="2CB8DD81" w:rsidR="0088067E" w:rsidRPr="0088067E" w:rsidRDefault="0088067E" w:rsidP="0088067E">
      <w:pPr>
        <w:pStyle w:val="ae"/>
        <w:numPr>
          <w:ilvl w:val="0"/>
          <w:numId w:val="2"/>
        </w:numPr>
        <w:spacing w:line="360" w:lineRule="auto"/>
        <w:ind w:firstLineChars="0"/>
        <w:rPr>
          <w:rFonts w:ascii="仿宋_GB2312" w:eastAsia="仿宋_GB2312" w:hint="eastAsia"/>
          <w:sz w:val="32"/>
          <w:szCs w:val="32"/>
        </w:rPr>
      </w:pPr>
      <w:r>
        <w:rPr>
          <w:rFonts w:ascii="仿宋_GB2312" w:eastAsia="仿宋_GB2312" w:hint="eastAsia"/>
          <w:sz w:val="32"/>
          <w:szCs w:val="32"/>
        </w:rPr>
        <w:lastRenderedPageBreak/>
        <w:t>数据二十条、三年行动计划等数据政策解读</w:t>
      </w:r>
    </w:p>
    <w:p w14:paraId="2D40F489" w14:textId="719A3AF7" w:rsidR="0088067E" w:rsidRDefault="0088067E">
      <w:pPr>
        <w:pStyle w:val="ae"/>
        <w:numPr>
          <w:ilvl w:val="0"/>
          <w:numId w:val="2"/>
        </w:numPr>
        <w:spacing w:line="360" w:lineRule="auto"/>
        <w:ind w:firstLineChars="0"/>
        <w:rPr>
          <w:rFonts w:ascii="仿宋_GB2312" w:eastAsia="仿宋_GB2312"/>
          <w:sz w:val="32"/>
          <w:szCs w:val="32"/>
        </w:rPr>
      </w:pPr>
      <w:r>
        <w:rPr>
          <w:rFonts w:ascii="仿宋_GB2312" w:eastAsia="仿宋_GB2312" w:hint="eastAsia"/>
          <w:sz w:val="32"/>
          <w:szCs w:val="32"/>
        </w:rPr>
        <w:t>两办</w:t>
      </w:r>
      <w:r>
        <w:rPr>
          <w:rFonts w:ascii="仿宋_GB2312" w:eastAsia="仿宋_GB2312" w:hint="eastAsia"/>
          <w:sz w:val="32"/>
          <w:szCs w:val="32"/>
        </w:rPr>
        <w:t>《</w:t>
      </w:r>
      <w:r w:rsidRPr="007C00A7">
        <w:rPr>
          <w:rFonts w:ascii="仿宋_GB2312" w:eastAsia="仿宋_GB2312" w:hint="eastAsia"/>
          <w:sz w:val="32"/>
          <w:szCs w:val="32"/>
        </w:rPr>
        <w:t>关于加快公共数据资源开发利用的意见</w:t>
      </w:r>
      <w:r>
        <w:rPr>
          <w:rFonts w:ascii="仿宋_GB2312" w:eastAsia="仿宋_GB2312" w:hint="eastAsia"/>
          <w:sz w:val="32"/>
          <w:szCs w:val="32"/>
        </w:rPr>
        <w:t>》</w:t>
      </w:r>
      <w:r>
        <w:rPr>
          <w:rFonts w:ascii="仿宋_GB2312" w:eastAsia="仿宋_GB2312" w:hint="eastAsia"/>
          <w:sz w:val="32"/>
          <w:szCs w:val="32"/>
        </w:rPr>
        <w:t>解读</w:t>
      </w:r>
    </w:p>
    <w:p w14:paraId="41802931" w14:textId="76507AA7" w:rsidR="0088067E" w:rsidRPr="0088067E" w:rsidRDefault="0088067E" w:rsidP="0088067E">
      <w:pPr>
        <w:pStyle w:val="ae"/>
        <w:numPr>
          <w:ilvl w:val="0"/>
          <w:numId w:val="2"/>
        </w:numPr>
        <w:spacing w:line="360" w:lineRule="auto"/>
        <w:ind w:firstLineChars="0"/>
        <w:rPr>
          <w:rFonts w:ascii="仿宋_GB2312" w:eastAsia="仿宋_GB2312" w:hint="eastAsia"/>
          <w:sz w:val="32"/>
          <w:szCs w:val="32"/>
        </w:rPr>
      </w:pPr>
      <w:r>
        <w:rPr>
          <w:rFonts w:ascii="仿宋_GB2312" w:eastAsia="仿宋_GB2312" w:hint="eastAsia"/>
          <w:sz w:val="32"/>
          <w:szCs w:val="32"/>
        </w:rPr>
        <w:t>财政部《关于加强行政事业单位数据资产管理的通知》</w:t>
      </w:r>
      <w:r>
        <w:rPr>
          <w:rFonts w:ascii="仿宋_GB2312" w:eastAsia="仿宋_GB2312" w:hint="eastAsia"/>
          <w:sz w:val="32"/>
          <w:szCs w:val="32"/>
        </w:rPr>
        <w:t>解读</w:t>
      </w:r>
    </w:p>
    <w:p w14:paraId="64FC3F0A" w14:textId="345F49F0" w:rsidR="00722C02" w:rsidRDefault="00000000">
      <w:pPr>
        <w:pStyle w:val="ae"/>
        <w:numPr>
          <w:ilvl w:val="0"/>
          <w:numId w:val="2"/>
        </w:numPr>
        <w:spacing w:line="360" w:lineRule="auto"/>
        <w:ind w:firstLineChars="0"/>
        <w:rPr>
          <w:rFonts w:ascii="仿宋_GB2312" w:eastAsia="仿宋_GB2312" w:hint="eastAsia"/>
          <w:sz w:val="32"/>
          <w:szCs w:val="32"/>
        </w:rPr>
      </w:pPr>
      <w:r>
        <w:rPr>
          <w:rFonts w:ascii="仿宋_GB2312" w:eastAsia="仿宋_GB2312" w:hint="eastAsia"/>
          <w:sz w:val="32"/>
          <w:szCs w:val="32"/>
        </w:rPr>
        <w:t>国内外公共数据</w:t>
      </w:r>
      <w:r w:rsidR="0088067E">
        <w:rPr>
          <w:rFonts w:ascii="仿宋_GB2312" w:eastAsia="仿宋_GB2312" w:hint="eastAsia"/>
          <w:sz w:val="32"/>
          <w:szCs w:val="32"/>
        </w:rPr>
        <w:t>资源</w:t>
      </w:r>
      <w:r>
        <w:rPr>
          <w:rFonts w:ascii="仿宋_GB2312" w:eastAsia="仿宋_GB2312" w:hint="eastAsia"/>
          <w:sz w:val="32"/>
          <w:szCs w:val="32"/>
        </w:rPr>
        <w:t>资产管理政策的对比分析</w:t>
      </w:r>
    </w:p>
    <w:p w14:paraId="3C0B3FD8" w14:textId="77777777" w:rsidR="00722C02" w:rsidRDefault="00000000">
      <w:pPr>
        <w:pStyle w:val="ae"/>
        <w:numPr>
          <w:ilvl w:val="0"/>
          <w:numId w:val="2"/>
        </w:numPr>
        <w:spacing w:line="360" w:lineRule="auto"/>
        <w:ind w:firstLineChars="0"/>
        <w:rPr>
          <w:rFonts w:ascii="仿宋_GB2312" w:eastAsia="仿宋_GB2312" w:hint="eastAsia"/>
          <w:sz w:val="32"/>
          <w:szCs w:val="32"/>
        </w:rPr>
      </w:pPr>
      <w:r>
        <w:rPr>
          <w:rFonts w:ascii="仿宋_GB2312" w:eastAsia="仿宋_GB2312" w:hint="eastAsia"/>
          <w:sz w:val="32"/>
          <w:szCs w:val="32"/>
        </w:rPr>
        <w:t>政策对数据开放与保护的影响</w:t>
      </w:r>
    </w:p>
    <w:p w14:paraId="61C90B16"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（二）数字经济发展与数据资产管理案例</w:t>
      </w:r>
    </w:p>
    <w:p w14:paraId="78BB3816" w14:textId="77777777" w:rsidR="00722C02" w:rsidRDefault="00000000">
      <w:pPr>
        <w:pStyle w:val="ae"/>
        <w:numPr>
          <w:ilvl w:val="0"/>
          <w:numId w:val="3"/>
        </w:numPr>
        <w:spacing w:line="360" w:lineRule="auto"/>
        <w:ind w:firstLineChars="0"/>
        <w:rPr>
          <w:rFonts w:ascii="仿宋_GB2312" w:eastAsia="仿宋_GB2312" w:hint="eastAsia"/>
          <w:sz w:val="32"/>
          <w:szCs w:val="32"/>
        </w:rPr>
      </w:pPr>
      <w:r>
        <w:rPr>
          <w:rFonts w:ascii="仿宋_GB2312" w:eastAsia="仿宋_GB2312" w:hint="eastAsia"/>
          <w:sz w:val="32"/>
          <w:szCs w:val="32"/>
        </w:rPr>
        <w:t xml:space="preserve">数字经济与数据要素 </w:t>
      </w:r>
    </w:p>
    <w:p w14:paraId="41638FD0" w14:textId="77777777" w:rsidR="00722C02" w:rsidRDefault="00000000">
      <w:pPr>
        <w:pStyle w:val="ae"/>
        <w:numPr>
          <w:ilvl w:val="0"/>
          <w:numId w:val="3"/>
        </w:numPr>
        <w:spacing w:line="360" w:lineRule="auto"/>
        <w:ind w:firstLineChars="0"/>
        <w:rPr>
          <w:rFonts w:ascii="仿宋_GB2312" w:eastAsia="仿宋_GB2312" w:hint="eastAsia"/>
          <w:sz w:val="32"/>
          <w:szCs w:val="32"/>
        </w:rPr>
      </w:pPr>
      <w:r>
        <w:rPr>
          <w:rFonts w:ascii="仿宋_GB2312" w:eastAsia="仿宋_GB2312" w:hint="eastAsia"/>
          <w:sz w:val="32"/>
          <w:szCs w:val="32"/>
        </w:rPr>
        <w:t>数字化转型与数据资产化</w:t>
      </w:r>
    </w:p>
    <w:p w14:paraId="23910717" w14:textId="77777777" w:rsidR="00722C02" w:rsidRDefault="00000000">
      <w:pPr>
        <w:pStyle w:val="ae"/>
        <w:numPr>
          <w:ilvl w:val="0"/>
          <w:numId w:val="3"/>
        </w:numPr>
        <w:spacing w:line="360" w:lineRule="auto"/>
        <w:ind w:firstLineChars="0"/>
        <w:rPr>
          <w:rFonts w:ascii="仿宋_GB2312" w:eastAsia="仿宋_GB2312" w:hint="eastAsia"/>
          <w:sz w:val="32"/>
          <w:szCs w:val="32"/>
        </w:rPr>
      </w:pPr>
      <w:r>
        <w:rPr>
          <w:rFonts w:ascii="仿宋_GB2312" w:eastAsia="仿宋_GB2312" w:hint="eastAsia"/>
          <w:sz w:val="32"/>
          <w:szCs w:val="32"/>
        </w:rPr>
        <w:t>数据资产管理案例</w:t>
      </w:r>
    </w:p>
    <w:p w14:paraId="0DC9BFBF" w14:textId="520B7EDC" w:rsidR="00722C02" w:rsidRDefault="00000000">
      <w:pPr>
        <w:tabs>
          <w:tab w:val="left" w:pos="720"/>
        </w:tabs>
        <w:spacing w:line="360" w:lineRule="auto"/>
        <w:rPr>
          <w:rFonts w:ascii="仿宋_GB2312" w:eastAsia="仿宋_GB2312" w:hint="eastAsia"/>
          <w:sz w:val="32"/>
          <w:szCs w:val="32"/>
        </w:rPr>
      </w:pPr>
      <w:r>
        <w:rPr>
          <w:rFonts w:ascii="仿宋_GB2312" w:eastAsia="仿宋_GB2312" w:hint="eastAsia"/>
          <w:sz w:val="32"/>
          <w:szCs w:val="32"/>
        </w:rPr>
        <w:t>（三）公共数据</w:t>
      </w:r>
      <w:r w:rsidR="0088067E">
        <w:rPr>
          <w:rFonts w:ascii="仿宋_GB2312" w:eastAsia="仿宋_GB2312" w:hint="eastAsia"/>
          <w:sz w:val="32"/>
          <w:szCs w:val="32"/>
        </w:rPr>
        <w:t>资源</w:t>
      </w:r>
      <w:r>
        <w:rPr>
          <w:rFonts w:ascii="仿宋_GB2312" w:eastAsia="仿宋_GB2312" w:hint="eastAsia"/>
          <w:sz w:val="32"/>
          <w:szCs w:val="32"/>
        </w:rPr>
        <w:t>授权运营与评估定价</w:t>
      </w:r>
    </w:p>
    <w:p w14:paraId="0FCDB351" w14:textId="77777777" w:rsidR="00722C02" w:rsidRDefault="00000000">
      <w:pPr>
        <w:pStyle w:val="ae"/>
        <w:numPr>
          <w:ilvl w:val="0"/>
          <w:numId w:val="4"/>
        </w:numPr>
        <w:spacing w:line="360" w:lineRule="auto"/>
        <w:ind w:firstLineChars="0"/>
        <w:rPr>
          <w:rFonts w:ascii="仿宋_GB2312" w:eastAsia="仿宋_GB2312" w:hint="eastAsia"/>
          <w:sz w:val="32"/>
          <w:szCs w:val="32"/>
        </w:rPr>
      </w:pPr>
      <w:r>
        <w:rPr>
          <w:rFonts w:ascii="仿宋_GB2312" w:eastAsia="仿宋_GB2312" w:hint="eastAsia"/>
          <w:sz w:val="32"/>
          <w:szCs w:val="32"/>
        </w:rPr>
        <w:t>授权模式与运营管理机制</w:t>
      </w:r>
    </w:p>
    <w:p w14:paraId="6164F55A" w14:textId="77777777" w:rsidR="00722C02" w:rsidRDefault="00000000">
      <w:pPr>
        <w:pStyle w:val="ae"/>
        <w:numPr>
          <w:ilvl w:val="0"/>
          <w:numId w:val="4"/>
        </w:numPr>
        <w:spacing w:line="360" w:lineRule="auto"/>
        <w:ind w:firstLineChars="0"/>
        <w:rPr>
          <w:rFonts w:ascii="仿宋_GB2312" w:eastAsia="仿宋_GB2312" w:hint="eastAsia"/>
          <w:sz w:val="32"/>
          <w:szCs w:val="32"/>
        </w:rPr>
      </w:pPr>
      <w:r>
        <w:rPr>
          <w:rFonts w:ascii="仿宋_GB2312" w:eastAsia="仿宋_GB2312" w:hint="eastAsia"/>
          <w:sz w:val="32"/>
          <w:szCs w:val="32"/>
        </w:rPr>
        <w:t>公共数据资源配置</w:t>
      </w:r>
    </w:p>
    <w:p w14:paraId="7925701C" w14:textId="6F75F789" w:rsidR="00722C02" w:rsidRDefault="0088067E">
      <w:pPr>
        <w:pStyle w:val="ae"/>
        <w:numPr>
          <w:ilvl w:val="0"/>
          <w:numId w:val="4"/>
        </w:numPr>
        <w:spacing w:line="360" w:lineRule="auto"/>
        <w:ind w:firstLineChars="0"/>
        <w:rPr>
          <w:rFonts w:ascii="仿宋_GB2312" w:eastAsia="仿宋_GB2312" w:hint="eastAsia"/>
          <w:sz w:val="32"/>
          <w:szCs w:val="32"/>
        </w:rPr>
      </w:pPr>
      <w:r>
        <w:rPr>
          <w:rFonts w:ascii="仿宋_GB2312" w:eastAsia="仿宋_GB2312" w:hint="eastAsia"/>
          <w:sz w:val="32"/>
          <w:szCs w:val="32"/>
        </w:rPr>
        <w:t>公共数据资源</w:t>
      </w:r>
      <w:r w:rsidR="00000000">
        <w:rPr>
          <w:rFonts w:ascii="仿宋_GB2312" w:eastAsia="仿宋_GB2312" w:hint="eastAsia"/>
          <w:sz w:val="32"/>
          <w:szCs w:val="32"/>
        </w:rPr>
        <w:t>资产评估方法与标准</w:t>
      </w:r>
    </w:p>
    <w:p w14:paraId="2C4ACA06" w14:textId="5316AB34" w:rsidR="00722C02" w:rsidRDefault="0088067E">
      <w:pPr>
        <w:pStyle w:val="ae"/>
        <w:numPr>
          <w:ilvl w:val="0"/>
          <w:numId w:val="4"/>
        </w:numPr>
        <w:spacing w:line="360" w:lineRule="auto"/>
        <w:ind w:firstLineChars="0"/>
        <w:rPr>
          <w:rFonts w:ascii="仿宋_GB2312" w:eastAsia="仿宋_GB2312" w:hint="eastAsia"/>
          <w:sz w:val="32"/>
          <w:szCs w:val="32"/>
        </w:rPr>
      </w:pPr>
      <w:r>
        <w:rPr>
          <w:rFonts w:ascii="仿宋_GB2312" w:eastAsia="仿宋_GB2312" w:hint="eastAsia"/>
          <w:sz w:val="32"/>
          <w:szCs w:val="32"/>
        </w:rPr>
        <w:t>公共数据资源</w:t>
      </w:r>
      <w:r w:rsidR="00000000">
        <w:rPr>
          <w:rFonts w:ascii="仿宋_GB2312" w:eastAsia="仿宋_GB2312" w:hint="eastAsia"/>
          <w:sz w:val="32"/>
          <w:szCs w:val="32"/>
        </w:rPr>
        <w:t>资产定价</w:t>
      </w:r>
    </w:p>
    <w:p w14:paraId="4C3518BA" w14:textId="77777777" w:rsidR="00722C02" w:rsidRDefault="00000000">
      <w:pPr>
        <w:pStyle w:val="ae"/>
        <w:numPr>
          <w:ilvl w:val="0"/>
          <w:numId w:val="4"/>
        </w:numPr>
        <w:spacing w:line="360" w:lineRule="auto"/>
        <w:ind w:firstLineChars="0"/>
        <w:rPr>
          <w:rFonts w:ascii="仿宋_GB2312" w:eastAsia="仿宋_GB2312" w:hint="eastAsia"/>
          <w:sz w:val="32"/>
          <w:szCs w:val="32"/>
        </w:rPr>
      </w:pPr>
      <w:r>
        <w:rPr>
          <w:rFonts w:ascii="仿宋_GB2312" w:eastAsia="仿宋_GB2312" w:hint="eastAsia"/>
          <w:sz w:val="32"/>
          <w:szCs w:val="32"/>
        </w:rPr>
        <w:t>案例解读</w:t>
      </w:r>
    </w:p>
    <w:p w14:paraId="2C027B87" w14:textId="543251E1" w:rsidR="00722C02" w:rsidRDefault="00000000">
      <w:pPr>
        <w:spacing w:line="360" w:lineRule="auto"/>
        <w:ind w:firstLineChars="50" w:firstLine="160"/>
        <w:rPr>
          <w:rFonts w:ascii="仿宋_GB2312" w:eastAsia="仿宋_GB2312" w:hint="eastAsia"/>
          <w:sz w:val="32"/>
          <w:szCs w:val="32"/>
        </w:rPr>
      </w:pPr>
      <w:r>
        <w:rPr>
          <w:rFonts w:ascii="仿宋_GB2312" w:eastAsia="仿宋_GB2312" w:hint="eastAsia"/>
          <w:sz w:val="32"/>
          <w:szCs w:val="32"/>
        </w:rPr>
        <w:t>（四）公共数据</w:t>
      </w:r>
      <w:r w:rsidR="0088067E">
        <w:rPr>
          <w:rFonts w:ascii="仿宋_GB2312" w:eastAsia="仿宋_GB2312" w:hint="eastAsia"/>
          <w:sz w:val="32"/>
          <w:szCs w:val="32"/>
        </w:rPr>
        <w:t>资源</w:t>
      </w:r>
      <w:r>
        <w:rPr>
          <w:rFonts w:ascii="仿宋_GB2312" w:eastAsia="仿宋_GB2312" w:hint="eastAsia"/>
          <w:sz w:val="32"/>
          <w:szCs w:val="32"/>
        </w:rPr>
        <w:t>应用场景及案例</w:t>
      </w:r>
    </w:p>
    <w:p w14:paraId="7649A95B" w14:textId="4B481EE8" w:rsidR="00722C02" w:rsidRDefault="00000000">
      <w:pPr>
        <w:pStyle w:val="ae"/>
        <w:numPr>
          <w:ilvl w:val="0"/>
          <w:numId w:val="5"/>
        </w:numPr>
        <w:spacing w:line="360" w:lineRule="auto"/>
        <w:ind w:firstLineChars="0"/>
        <w:rPr>
          <w:rFonts w:ascii="仿宋_GB2312" w:eastAsia="仿宋_GB2312" w:hint="eastAsia"/>
          <w:sz w:val="32"/>
          <w:szCs w:val="32"/>
        </w:rPr>
      </w:pPr>
      <w:r>
        <w:rPr>
          <w:rFonts w:ascii="仿宋_GB2312" w:eastAsia="仿宋_GB2312" w:hint="eastAsia"/>
          <w:sz w:val="32"/>
          <w:szCs w:val="32"/>
        </w:rPr>
        <w:t>不同行业的公共数据</w:t>
      </w:r>
      <w:r w:rsidR="0088067E">
        <w:rPr>
          <w:rFonts w:ascii="仿宋_GB2312" w:eastAsia="仿宋_GB2312" w:hint="eastAsia"/>
          <w:sz w:val="32"/>
          <w:szCs w:val="32"/>
        </w:rPr>
        <w:t>资源</w:t>
      </w:r>
      <w:r>
        <w:rPr>
          <w:rFonts w:ascii="仿宋_GB2312" w:eastAsia="仿宋_GB2312" w:hint="eastAsia"/>
          <w:sz w:val="32"/>
          <w:szCs w:val="32"/>
        </w:rPr>
        <w:t>应用场景</w:t>
      </w:r>
    </w:p>
    <w:p w14:paraId="02F2F48F" w14:textId="77777777" w:rsidR="00722C02" w:rsidRDefault="00000000">
      <w:pPr>
        <w:pStyle w:val="ae"/>
        <w:numPr>
          <w:ilvl w:val="0"/>
          <w:numId w:val="5"/>
        </w:numPr>
        <w:spacing w:line="360" w:lineRule="auto"/>
        <w:ind w:firstLineChars="0"/>
        <w:rPr>
          <w:rFonts w:ascii="仿宋_GB2312" w:eastAsia="仿宋_GB2312" w:hint="eastAsia"/>
          <w:sz w:val="32"/>
          <w:szCs w:val="32"/>
        </w:rPr>
      </w:pPr>
      <w:r>
        <w:rPr>
          <w:rFonts w:ascii="仿宋_GB2312" w:eastAsia="仿宋_GB2312" w:hint="eastAsia"/>
          <w:sz w:val="32"/>
          <w:szCs w:val="32"/>
        </w:rPr>
        <w:t>经典案例分析与解读</w:t>
      </w:r>
    </w:p>
    <w:p w14:paraId="3D9CC606" w14:textId="77777777" w:rsidR="00722C02" w:rsidRDefault="00000000">
      <w:pPr>
        <w:pStyle w:val="ae"/>
        <w:numPr>
          <w:ilvl w:val="0"/>
          <w:numId w:val="5"/>
        </w:numPr>
        <w:spacing w:line="360" w:lineRule="auto"/>
        <w:ind w:firstLineChars="0"/>
        <w:rPr>
          <w:rFonts w:ascii="仿宋_GB2312" w:eastAsia="仿宋_GB2312" w:hint="eastAsia"/>
          <w:sz w:val="32"/>
          <w:szCs w:val="32"/>
        </w:rPr>
      </w:pPr>
      <w:r>
        <w:rPr>
          <w:rFonts w:ascii="仿宋_GB2312" w:eastAsia="仿宋_GB2312" w:hint="eastAsia"/>
          <w:sz w:val="32"/>
          <w:szCs w:val="32"/>
        </w:rPr>
        <w:t>应用场景挖掘和解决方案研讨</w:t>
      </w:r>
    </w:p>
    <w:p w14:paraId="4265B73D" w14:textId="1D28D738"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（五）</w:t>
      </w:r>
      <w:r w:rsidR="0088067E">
        <w:rPr>
          <w:rFonts w:ascii="仿宋_GB2312" w:eastAsia="仿宋_GB2312" w:hint="eastAsia"/>
          <w:sz w:val="32"/>
          <w:szCs w:val="32"/>
        </w:rPr>
        <w:t>公共数据资源</w:t>
      </w:r>
      <w:r>
        <w:rPr>
          <w:rFonts w:ascii="仿宋_GB2312" w:eastAsia="仿宋_GB2312" w:hint="eastAsia"/>
          <w:sz w:val="32"/>
          <w:szCs w:val="32"/>
        </w:rPr>
        <w:t>资产的全过程管理</w:t>
      </w:r>
    </w:p>
    <w:p w14:paraId="53336E95" w14:textId="60FAAE63" w:rsidR="00722C02" w:rsidRDefault="0088067E">
      <w:pPr>
        <w:pStyle w:val="ae"/>
        <w:numPr>
          <w:ilvl w:val="0"/>
          <w:numId w:val="6"/>
        </w:numPr>
        <w:spacing w:line="360" w:lineRule="auto"/>
        <w:ind w:firstLineChars="0"/>
        <w:rPr>
          <w:rFonts w:ascii="仿宋_GB2312" w:eastAsia="仿宋_GB2312" w:hint="eastAsia"/>
          <w:sz w:val="32"/>
          <w:szCs w:val="32"/>
        </w:rPr>
      </w:pPr>
      <w:r>
        <w:rPr>
          <w:rFonts w:ascii="仿宋_GB2312" w:eastAsia="仿宋_GB2312" w:hint="eastAsia"/>
          <w:sz w:val="32"/>
          <w:szCs w:val="32"/>
        </w:rPr>
        <w:t>公共数据资源</w:t>
      </w:r>
      <w:r w:rsidR="00000000">
        <w:rPr>
          <w:rFonts w:ascii="仿宋_GB2312" w:eastAsia="仿宋_GB2312" w:hint="eastAsia"/>
          <w:sz w:val="32"/>
          <w:szCs w:val="32"/>
        </w:rPr>
        <w:t>资产管理的生命周期</w:t>
      </w:r>
    </w:p>
    <w:p w14:paraId="772638A5" w14:textId="77777777" w:rsidR="00722C02" w:rsidRDefault="00000000">
      <w:pPr>
        <w:pStyle w:val="ae"/>
        <w:numPr>
          <w:ilvl w:val="0"/>
          <w:numId w:val="6"/>
        </w:numPr>
        <w:spacing w:line="360" w:lineRule="auto"/>
        <w:ind w:firstLineChars="0"/>
        <w:rPr>
          <w:rFonts w:ascii="仿宋_GB2312" w:eastAsia="仿宋_GB2312" w:hint="eastAsia"/>
          <w:sz w:val="32"/>
          <w:szCs w:val="32"/>
        </w:rPr>
      </w:pPr>
      <w:r>
        <w:rPr>
          <w:rFonts w:ascii="仿宋_GB2312" w:eastAsia="仿宋_GB2312" w:hint="eastAsia"/>
          <w:sz w:val="32"/>
          <w:szCs w:val="32"/>
        </w:rPr>
        <w:lastRenderedPageBreak/>
        <w:t>数据采集、处理、加工、存储的实践案例</w:t>
      </w:r>
    </w:p>
    <w:p w14:paraId="10580F13" w14:textId="77777777" w:rsidR="00722C02" w:rsidRDefault="00000000">
      <w:pPr>
        <w:pStyle w:val="ae"/>
        <w:numPr>
          <w:ilvl w:val="0"/>
          <w:numId w:val="6"/>
        </w:numPr>
        <w:spacing w:line="360" w:lineRule="auto"/>
        <w:ind w:firstLineChars="0"/>
        <w:rPr>
          <w:rFonts w:ascii="仿宋_GB2312" w:eastAsia="仿宋_GB2312" w:hint="eastAsia"/>
          <w:sz w:val="32"/>
          <w:szCs w:val="32"/>
        </w:rPr>
      </w:pPr>
      <w:r>
        <w:rPr>
          <w:rFonts w:ascii="仿宋_GB2312" w:eastAsia="仿宋_GB2312" w:hint="eastAsia"/>
          <w:sz w:val="32"/>
          <w:szCs w:val="32"/>
        </w:rPr>
        <w:t>数据质量管理与数据资产评估</w:t>
      </w:r>
    </w:p>
    <w:p w14:paraId="1D470C91" w14:textId="791D09B8"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（六）公共数据</w:t>
      </w:r>
      <w:r w:rsidR="0088067E">
        <w:rPr>
          <w:rFonts w:ascii="仿宋_GB2312" w:eastAsia="仿宋_GB2312" w:hint="eastAsia"/>
          <w:sz w:val="32"/>
          <w:szCs w:val="32"/>
        </w:rPr>
        <w:t>资源</w:t>
      </w:r>
      <w:r>
        <w:rPr>
          <w:rFonts w:ascii="仿宋_GB2312" w:eastAsia="仿宋_GB2312" w:hint="eastAsia"/>
          <w:sz w:val="32"/>
          <w:szCs w:val="32"/>
        </w:rPr>
        <w:t>安全合</w:t>
      </w:r>
      <w:proofErr w:type="gramStart"/>
      <w:r>
        <w:rPr>
          <w:rFonts w:ascii="仿宋_GB2312" w:eastAsia="仿宋_GB2312" w:hint="eastAsia"/>
          <w:sz w:val="32"/>
          <w:szCs w:val="32"/>
        </w:rPr>
        <w:t>规</w:t>
      </w:r>
      <w:proofErr w:type="gramEnd"/>
      <w:r>
        <w:rPr>
          <w:rFonts w:ascii="仿宋_GB2312" w:eastAsia="仿宋_GB2312" w:hint="eastAsia"/>
          <w:sz w:val="32"/>
          <w:szCs w:val="32"/>
        </w:rPr>
        <w:t>与审计</w:t>
      </w:r>
    </w:p>
    <w:p w14:paraId="49B9E726" w14:textId="77777777" w:rsidR="00722C02" w:rsidRDefault="00000000">
      <w:pPr>
        <w:pStyle w:val="ae"/>
        <w:numPr>
          <w:ilvl w:val="0"/>
          <w:numId w:val="7"/>
        </w:numPr>
        <w:spacing w:line="360" w:lineRule="auto"/>
        <w:ind w:firstLineChars="0"/>
        <w:rPr>
          <w:rFonts w:ascii="仿宋_GB2312" w:eastAsia="仿宋_GB2312" w:hint="eastAsia"/>
          <w:sz w:val="32"/>
          <w:szCs w:val="32"/>
        </w:rPr>
      </w:pPr>
      <w:r>
        <w:rPr>
          <w:rFonts w:ascii="仿宋_GB2312" w:eastAsia="仿宋_GB2312" w:hint="eastAsia"/>
          <w:sz w:val="32"/>
          <w:szCs w:val="32"/>
        </w:rPr>
        <w:t>数据安全相关法规解读</w:t>
      </w:r>
    </w:p>
    <w:p w14:paraId="7BE579CA" w14:textId="2396F69F" w:rsidR="00722C02" w:rsidRDefault="0088067E">
      <w:pPr>
        <w:pStyle w:val="ae"/>
        <w:numPr>
          <w:ilvl w:val="0"/>
          <w:numId w:val="7"/>
        </w:numPr>
        <w:spacing w:line="360" w:lineRule="auto"/>
        <w:ind w:firstLineChars="0"/>
        <w:rPr>
          <w:rFonts w:ascii="仿宋_GB2312" w:eastAsia="仿宋_GB2312" w:hint="eastAsia"/>
          <w:sz w:val="32"/>
          <w:szCs w:val="32"/>
        </w:rPr>
      </w:pPr>
      <w:r>
        <w:rPr>
          <w:rFonts w:ascii="仿宋_GB2312" w:eastAsia="仿宋_GB2312" w:hint="eastAsia"/>
          <w:sz w:val="32"/>
          <w:szCs w:val="32"/>
        </w:rPr>
        <w:t>公共数据资源</w:t>
      </w:r>
      <w:r w:rsidR="00000000">
        <w:rPr>
          <w:rFonts w:ascii="仿宋_GB2312" w:eastAsia="仿宋_GB2312" w:hint="eastAsia"/>
          <w:sz w:val="32"/>
          <w:szCs w:val="32"/>
        </w:rPr>
        <w:t>资产合</w:t>
      </w:r>
      <w:proofErr w:type="gramStart"/>
      <w:r w:rsidR="00000000">
        <w:rPr>
          <w:rFonts w:ascii="仿宋_GB2312" w:eastAsia="仿宋_GB2312" w:hint="eastAsia"/>
          <w:sz w:val="32"/>
          <w:szCs w:val="32"/>
        </w:rPr>
        <w:t>规</w:t>
      </w:r>
      <w:proofErr w:type="gramEnd"/>
      <w:r w:rsidR="00000000">
        <w:rPr>
          <w:rFonts w:ascii="仿宋_GB2312" w:eastAsia="仿宋_GB2312" w:hint="eastAsia"/>
          <w:sz w:val="32"/>
          <w:szCs w:val="32"/>
        </w:rPr>
        <w:t>管理与审计</w:t>
      </w:r>
    </w:p>
    <w:p w14:paraId="2D7E242F" w14:textId="77777777" w:rsidR="00722C02" w:rsidRDefault="00000000">
      <w:pPr>
        <w:pStyle w:val="ae"/>
        <w:numPr>
          <w:ilvl w:val="0"/>
          <w:numId w:val="7"/>
        </w:numPr>
        <w:spacing w:line="360" w:lineRule="auto"/>
        <w:ind w:firstLineChars="0"/>
        <w:rPr>
          <w:rFonts w:ascii="仿宋_GB2312" w:eastAsia="仿宋_GB2312" w:hint="eastAsia"/>
          <w:sz w:val="32"/>
          <w:szCs w:val="32"/>
        </w:rPr>
      </w:pPr>
      <w:r>
        <w:rPr>
          <w:rFonts w:ascii="仿宋_GB2312" w:eastAsia="仿宋_GB2312" w:hint="eastAsia"/>
          <w:sz w:val="32"/>
          <w:szCs w:val="32"/>
        </w:rPr>
        <w:t xml:space="preserve">案例解读 </w:t>
      </w:r>
    </w:p>
    <w:p w14:paraId="5B3EE4D5" w14:textId="77777777" w:rsidR="00722C02" w:rsidRDefault="00000000">
      <w:pPr>
        <w:spacing w:line="360" w:lineRule="auto"/>
        <w:rPr>
          <w:rFonts w:ascii="仿宋_GB2312" w:eastAsia="仿宋_GB2312" w:hint="eastAsia"/>
          <w:sz w:val="32"/>
          <w:szCs w:val="32"/>
        </w:rPr>
      </w:pPr>
      <w:r>
        <w:rPr>
          <w:rFonts w:ascii="黑体" w:eastAsia="黑体" w:hAnsi="黑体" w:hint="eastAsia"/>
          <w:sz w:val="32"/>
          <w:szCs w:val="32"/>
        </w:rPr>
        <w:t>五、课程主任</w:t>
      </w:r>
    </w:p>
    <w:p w14:paraId="16DD9D58"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钟老师：上海国家会计学院教师、硕士生导师、上海财经大学经济学博士，上海交通大学安泰经济与管理学院博士后。兼任Journal of Regional Economics主编、《湖南师范大学自然科学学报》青年编委，在《经济研究》《经济学季刊》《Regional Studies》等国内外核心期刊发表论文40多篇。主持国家自然科学基金青年科学基金、财政部部省共建</w:t>
      </w:r>
      <w:r>
        <w:rPr>
          <w:rFonts w:ascii="仿宋_GB2312" w:eastAsia="仿宋_GB2312" w:hint="eastAsia"/>
          <w:sz w:val="32"/>
          <w:szCs w:val="32"/>
          <w:lang w:eastAsia="zh-Hans"/>
        </w:rPr>
        <w:t>联合研究项目</w:t>
      </w:r>
      <w:r>
        <w:rPr>
          <w:rFonts w:ascii="仿宋_GB2312" w:eastAsia="仿宋_GB2312" w:hint="eastAsia"/>
          <w:sz w:val="32"/>
          <w:szCs w:val="32"/>
        </w:rPr>
        <w:t>等</w:t>
      </w:r>
      <w:r>
        <w:rPr>
          <w:rFonts w:ascii="仿宋_GB2312" w:eastAsia="仿宋_GB2312" w:hint="eastAsia"/>
          <w:sz w:val="32"/>
          <w:szCs w:val="32"/>
          <w:lang w:eastAsia="zh-Hans"/>
        </w:rPr>
        <w:t>多项</w:t>
      </w:r>
      <w:r>
        <w:rPr>
          <w:rFonts w:ascii="仿宋_GB2312" w:eastAsia="仿宋_GB2312" w:hint="eastAsia"/>
          <w:sz w:val="32"/>
          <w:szCs w:val="32"/>
        </w:rPr>
        <w:t>课题，参与国家社科基金重大项目等</w:t>
      </w:r>
      <w:r>
        <w:rPr>
          <w:rFonts w:ascii="仿宋_GB2312" w:eastAsia="仿宋_GB2312" w:hint="eastAsia"/>
          <w:sz w:val="32"/>
          <w:szCs w:val="32"/>
          <w:lang w:eastAsia="zh-Hans"/>
        </w:rPr>
        <w:t>多项</w:t>
      </w:r>
      <w:r>
        <w:rPr>
          <w:rFonts w:ascii="仿宋_GB2312" w:eastAsia="仿宋_GB2312" w:hint="eastAsia"/>
          <w:sz w:val="32"/>
          <w:szCs w:val="32"/>
        </w:rPr>
        <w:t>课题。撰写内参多次获国务院办公厅采纳和省部级领导肯定性批示；获2021年度财政部财政工作</w:t>
      </w:r>
      <w:r>
        <w:rPr>
          <w:rFonts w:ascii="仿宋_GB2312" w:eastAsia="仿宋_GB2312" w:hint="eastAsia"/>
          <w:sz w:val="32"/>
          <w:szCs w:val="32"/>
          <w:lang w:eastAsia="zh-Hans"/>
        </w:rPr>
        <w:t>三优论文</w:t>
      </w:r>
      <w:r>
        <w:rPr>
          <w:rFonts w:ascii="仿宋_GB2312" w:eastAsia="仿宋_GB2312" w:hint="eastAsia"/>
          <w:sz w:val="32"/>
          <w:szCs w:val="32"/>
        </w:rPr>
        <w:t>一等奖（独作）</w:t>
      </w:r>
      <w:r>
        <w:rPr>
          <w:rFonts w:ascii="仿宋_GB2312" w:eastAsia="仿宋_GB2312"/>
          <w:sz w:val="32"/>
          <w:szCs w:val="32"/>
        </w:rPr>
        <w:t>，</w:t>
      </w:r>
      <w:r>
        <w:rPr>
          <w:rFonts w:ascii="仿宋_GB2312" w:eastAsia="仿宋_GB2312" w:hint="eastAsia"/>
          <w:sz w:val="32"/>
          <w:szCs w:val="32"/>
        </w:rPr>
        <w:t>发表的评论文章获</w:t>
      </w:r>
      <w:proofErr w:type="gramStart"/>
      <w:r>
        <w:rPr>
          <w:rFonts w:ascii="仿宋_GB2312" w:eastAsia="仿宋_GB2312" w:hint="eastAsia"/>
          <w:sz w:val="32"/>
          <w:szCs w:val="32"/>
        </w:rPr>
        <w:t>中国政府官网转载</w:t>
      </w:r>
      <w:proofErr w:type="gramEnd"/>
      <w:r>
        <w:rPr>
          <w:rFonts w:ascii="仿宋_GB2312" w:eastAsia="仿宋_GB2312" w:hint="eastAsia"/>
          <w:sz w:val="32"/>
          <w:szCs w:val="32"/>
        </w:rPr>
        <w:t xml:space="preserve">。 </w:t>
      </w:r>
    </w:p>
    <w:p w14:paraId="4EE9E3E7"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六、拟邀师资</w:t>
      </w:r>
    </w:p>
    <w:p w14:paraId="7DD8F1D3"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本课程拟邀具有丰富公共数据资产研究和管理实践经验的授课教师或研讨嘉宾。具体师资以实际课表为准。</w:t>
      </w:r>
    </w:p>
    <w:p w14:paraId="06C234DA" w14:textId="3D91099C"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丘</w:t>
      </w:r>
      <w:r w:rsidR="00D3341A">
        <w:rPr>
          <w:rFonts w:ascii="仿宋_GB2312" w:eastAsia="仿宋_GB2312" w:hint="eastAsia"/>
          <w:sz w:val="32"/>
          <w:szCs w:val="32"/>
        </w:rPr>
        <w:t>老师</w:t>
      </w:r>
      <w:r>
        <w:rPr>
          <w:rFonts w:ascii="仿宋_GB2312" w:eastAsia="仿宋_GB2312" w:hint="eastAsia"/>
          <w:sz w:val="32"/>
          <w:szCs w:val="32"/>
        </w:rPr>
        <w:t>：高级经济师，全国首批资产评估行业领军人才，中国资产评估协会教育培训委员会委员，全国首届优秀青年注</w:t>
      </w:r>
      <w:r>
        <w:rPr>
          <w:rFonts w:ascii="仿宋_GB2312" w:eastAsia="仿宋_GB2312" w:hint="eastAsia"/>
          <w:sz w:val="32"/>
          <w:szCs w:val="32"/>
        </w:rPr>
        <w:lastRenderedPageBreak/>
        <w:t>册资产评估师。厦门大学资产评估专业学位研究生校外导师，厦门国家会计学院兼职硕士研究生导师，福建江夏学院客座教授。财政部首批政府和社会资本合作专家，</w:t>
      </w:r>
      <w:r>
        <w:rPr>
          <w:rFonts w:ascii="仿宋_GB2312" w:eastAsia="仿宋_GB2312"/>
          <w:sz w:val="32"/>
          <w:szCs w:val="32"/>
        </w:rPr>
        <w:t>福建省国资委专家、厦门市国资委专家、福州市国资委专家，两岸资本市场服务联盟副理事长，中国社会科学评价研究院专家，海西并购</w:t>
      </w:r>
      <w:proofErr w:type="gramStart"/>
      <w:r>
        <w:rPr>
          <w:rFonts w:ascii="仿宋_GB2312" w:eastAsia="仿宋_GB2312"/>
          <w:sz w:val="32"/>
          <w:szCs w:val="32"/>
        </w:rPr>
        <w:t>俱乐部智库专家</w:t>
      </w:r>
      <w:proofErr w:type="gramEnd"/>
      <w:r>
        <w:rPr>
          <w:rFonts w:ascii="仿宋_GB2312" w:eastAsia="仿宋_GB2312"/>
          <w:sz w:val="32"/>
          <w:szCs w:val="32"/>
        </w:rPr>
        <w:t>。厦门</w:t>
      </w:r>
      <w:proofErr w:type="gramStart"/>
      <w:r>
        <w:rPr>
          <w:rFonts w:ascii="仿宋_GB2312" w:eastAsia="仿宋_GB2312"/>
          <w:sz w:val="32"/>
          <w:szCs w:val="32"/>
        </w:rPr>
        <w:t>嘉学资产</w:t>
      </w:r>
      <w:proofErr w:type="gramEnd"/>
      <w:r>
        <w:rPr>
          <w:rFonts w:ascii="仿宋_GB2312" w:eastAsia="仿宋_GB2312"/>
          <w:sz w:val="32"/>
          <w:szCs w:val="32"/>
        </w:rPr>
        <w:t>评估房地产估价有限公司高级合伙人，</w:t>
      </w:r>
      <w:proofErr w:type="gramStart"/>
      <w:r>
        <w:rPr>
          <w:rFonts w:ascii="仿宋_GB2312" w:eastAsia="仿宋_GB2312"/>
          <w:sz w:val="32"/>
          <w:szCs w:val="32"/>
        </w:rPr>
        <w:t>嘉学评估</w:t>
      </w:r>
      <w:r>
        <w:rPr>
          <w:rFonts w:ascii="仿宋_GB2312" w:eastAsia="仿宋_GB2312"/>
          <w:sz w:val="32"/>
          <w:szCs w:val="32"/>
        </w:rPr>
        <w:t>“</w:t>
      </w:r>
      <w:proofErr w:type="gramEnd"/>
      <w:r>
        <w:rPr>
          <w:rFonts w:ascii="仿宋_GB2312" w:eastAsia="仿宋_GB2312"/>
          <w:sz w:val="32"/>
          <w:szCs w:val="32"/>
        </w:rPr>
        <w:t>数字经济与数据资产评估研究中心</w:t>
      </w:r>
      <w:r>
        <w:rPr>
          <w:rFonts w:ascii="仿宋_GB2312" w:eastAsia="仿宋_GB2312"/>
          <w:sz w:val="32"/>
          <w:szCs w:val="32"/>
        </w:rPr>
        <w:t>“</w:t>
      </w:r>
      <w:r>
        <w:rPr>
          <w:rFonts w:ascii="仿宋_GB2312" w:eastAsia="仿宋_GB2312"/>
          <w:sz w:val="32"/>
          <w:szCs w:val="32"/>
        </w:rPr>
        <w:t>主任。</w:t>
      </w:r>
      <w:r>
        <w:rPr>
          <w:rFonts w:ascii="仿宋_GB2312" w:eastAsia="仿宋_GB2312" w:hint="eastAsia"/>
          <w:sz w:val="32"/>
          <w:szCs w:val="32"/>
        </w:rPr>
        <w:t xml:space="preserve"> </w:t>
      </w:r>
    </w:p>
    <w:p w14:paraId="637232C9"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李老师：上海国家会计学院副教授、硕士生导师，上海国家会计学院国际财务报告准则协同研究中心主任，上海财经大学管理学(会计学方向）博士，美国加州大学伯克利分校访问学者、英国爱丁堡龙比亚大学访问学者。近年来主持或参与多项与数据资产相关的课题及调研工作、发表相关论文并获奖。财政部第四届企业会计准则委员会委员，财政部国际化高端会计人才和对外财经人才、联合国审计人才。</w:t>
      </w:r>
    </w:p>
    <w:p w14:paraId="2F132D93"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季老师：上海国家会计学院数字服务研究中心学术主任、CFO领导力研究中心执行主任。美国圣路易斯华盛顿大学奥林商学院，亚利桑那州立大学</w:t>
      </w:r>
      <w:proofErr w:type="gramStart"/>
      <w:r>
        <w:rPr>
          <w:rFonts w:ascii="仿宋_GB2312" w:eastAsia="仿宋_GB2312" w:hint="eastAsia"/>
          <w:sz w:val="32"/>
          <w:szCs w:val="32"/>
        </w:rPr>
        <w:t>凯</w:t>
      </w:r>
      <w:proofErr w:type="gramEnd"/>
      <w:r>
        <w:rPr>
          <w:rFonts w:ascii="仿宋_GB2312" w:eastAsia="仿宋_GB2312" w:hint="eastAsia"/>
          <w:sz w:val="32"/>
          <w:szCs w:val="32"/>
        </w:rPr>
        <w:t>瑞商学院访问学者。近年来主持或参与多项与数据资产相关的课题及调研工作、并发表相关论文。</w:t>
      </w:r>
    </w:p>
    <w:p w14:paraId="0DC8311A"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中国信</w:t>
      </w:r>
      <w:proofErr w:type="gramStart"/>
      <w:r>
        <w:rPr>
          <w:rFonts w:ascii="仿宋_GB2312" w:eastAsia="仿宋_GB2312" w:hint="eastAsia"/>
          <w:sz w:val="32"/>
          <w:szCs w:val="32"/>
        </w:rPr>
        <w:t>通院云计算</w:t>
      </w:r>
      <w:proofErr w:type="gramEnd"/>
      <w:r>
        <w:rPr>
          <w:rFonts w:ascii="仿宋_GB2312" w:eastAsia="仿宋_GB2312" w:hint="eastAsia"/>
          <w:sz w:val="32"/>
          <w:szCs w:val="32"/>
        </w:rPr>
        <w:t>与大数据研究所师资，相关研究成果：《公共数据授权运营发展洞察（</w:t>
      </w:r>
      <w:r>
        <w:rPr>
          <w:rFonts w:ascii="仿宋_GB2312" w:eastAsia="仿宋_GB2312"/>
          <w:sz w:val="32"/>
          <w:szCs w:val="32"/>
        </w:rPr>
        <w:t>2023年）》《公共数据授权运营案</w:t>
      </w:r>
      <w:r>
        <w:rPr>
          <w:rFonts w:ascii="仿宋_GB2312" w:eastAsia="仿宋_GB2312"/>
          <w:sz w:val="32"/>
          <w:szCs w:val="32"/>
        </w:rPr>
        <w:lastRenderedPageBreak/>
        <w:t>例集（2023年）》、公共数据授权运营发展指数等。</w:t>
      </w:r>
    </w:p>
    <w:p w14:paraId="54107DF9"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上海社科院师资，相关研究：“上海国际数据港与‘五个中心’建设融合发展研究”课题、上海市数据相关政策研究等。</w:t>
      </w:r>
    </w:p>
    <w:p w14:paraId="17BD96E5"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 xml:space="preserve">七、培训时间和收费标准 </w:t>
      </w:r>
    </w:p>
    <w:p w14:paraId="5F529612"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1.授课时间：2天 </w:t>
      </w:r>
    </w:p>
    <w:p w14:paraId="7E542A4B"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2.培训费：2400元/人； </w:t>
      </w:r>
    </w:p>
    <w:p w14:paraId="7DE785D0"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3.费用支付与发票：报名后将培训费电汇至上海国家会计学院，上海国家会计学院提供发票。 </w:t>
      </w:r>
    </w:p>
    <w:p w14:paraId="36058575"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4.食宿费用自理，按实际费用标准结算。 </w:t>
      </w:r>
    </w:p>
    <w:p w14:paraId="0CDDADF4"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 xml:space="preserve">八、结业证书 </w:t>
      </w:r>
    </w:p>
    <w:p w14:paraId="2F6711F4"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培训班结束后由上海国家会计学院颁发结业证书（标注学时）。 </w:t>
      </w:r>
    </w:p>
    <w:p w14:paraId="20288CD8" w14:textId="77777777" w:rsidR="00722C02" w:rsidRDefault="00000000">
      <w:pPr>
        <w:spacing w:line="360" w:lineRule="auto"/>
        <w:rPr>
          <w:rFonts w:ascii="黑体" w:eastAsia="黑体" w:hAnsi="黑体" w:hint="eastAsia"/>
          <w:sz w:val="32"/>
          <w:szCs w:val="32"/>
        </w:rPr>
      </w:pPr>
      <w:r>
        <w:rPr>
          <w:rFonts w:ascii="黑体" w:eastAsia="黑体" w:hAnsi="黑体" w:hint="eastAsia"/>
          <w:sz w:val="32"/>
          <w:szCs w:val="32"/>
        </w:rPr>
        <w:t xml:space="preserve">九、报名咨询 </w:t>
      </w:r>
    </w:p>
    <w:p w14:paraId="4EAFEDB8"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请参加人员按要求填写《报名回执表》（附后），报承办单位；我们将在开课前一周向报名学员发送《报到通知》。 </w:t>
      </w:r>
    </w:p>
    <w:p w14:paraId="4E3F8EF9"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 xml:space="preserve">联系人：胡老师 </w:t>
      </w:r>
    </w:p>
    <w:p w14:paraId="775CCC35" w14:textId="77777777" w:rsidR="00722C02" w:rsidRDefault="00000000">
      <w:pPr>
        <w:spacing w:line="360" w:lineRule="auto"/>
        <w:rPr>
          <w:rFonts w:ascii="仿宋_GB2312" w:eastAsia="仿宋_GB2312" w:hint="eastAsia"/>
          <w:sz w:val="32"/>
          <w:szCs w:val="32"/>
        </w:rPr>
      </w:pPr>
      <w:r>
        <w:rPr>
          <w:rFonts w:ascii="仿宋_GB2312" w:eastAsia="仿宋_GB2312" w:hint="eastAsia"/>
          <w:sz w:val="32"/>
          <w:szCs w:val="32"/>
        </w:rPr>
        <w:t>电话：18121168222</w:t>
      </w:r>
    </w:p>
    <w:p w14:paraId="3E1300B8" w14:textId="77777777" w:rsidR="00722C02" w:rsidRDefault="00722C02">
      <w:pPr>
        <w:widowControl/>
        <w:jc w:val="left"/>
        <w:rPr>
          <w:rFonts w:ascii="仿宋_GB2312" w:eastAsia="仿宋_GB2312" w:hAnsi="仿宋" w:hint="eastAsia"/>
          <w:color w:val="000000"/>
          <w:sz w:val="32"/>
          <w:szCs w:val="32"/>
        </w:rPr>
      </w:pPr>
    </w:p>
    <w:p w14:paraId="7A0F693C" w14:textId="77777777" w:rsidR="00722C02" w:rsidRDefault="00000000">
      <w:pPr>
        <w:widowControl/>
        <w:jc w:val="left"/>
        <w:rPr>
          <w:rFonts w:ascii="仿宋_GB2312" w:eastAsia="仿宋_GB2312" w:hAnsi="Songti SC" w:hint="eastAsia"/>
          <w:color w:val="000000"/>
          <w:sz w:val="32"/>
          <w:szCs w:val="32"/>
        </w:rPr>
      </w:pPr>
      <w:r>
        <w:rPr>
          <w:rFonts w:ascii="仿宋_GB2312" w:eastAsia="仿宋_GB2312" w:hAnsi="Songti SC" w:hint="eastAsia"/>
          <w:color w:val="000000"/>
          <w:sz w:val="32"/>
          <w:szCs w:val="32"/>
        </w:rPr>
        <w:br w:type="page"/>
      </w:r>
    </w:p>
    <w:p w14:paraId="3C450D32" w14:textId="77777777" w:rsidR="00722C02" w:rsidRDefault="00000000">
      <w:pPr>
        <w:widowControl/>
        <w:tabs>
          <w:tab w:val="center" w:pos="4766"/>
          <w:tab w:val="left" w:pos="6716"/>
        </w:tabs>
        <w:spacing w:line="480" w:lineRule="exact"/>
        <w:rPr>
          <w:rFonts w:ascii="Songti SC" w:eastAsia="Songti SC" w:hAnsi="Songti SC" w:hint="eastAsia"/>
          <w:b/>
          <w:bCs/>
          <w:color w:val="000000"/>
          <w:sz w:val="32"/>
          <w:szCs w:val="32"/>
        </w:rPr>
      </w:pPr>
      <w:r>
        <w:rPr>
          <w:rFonts w:ascii="Songti SC" w:eastAsia="Songti SC" w:hAnsi="Songti SC" w:hint="eastAsia"/>
          <w:b/>
          <w:bCs/>
          <w:color w:val="000000"/>
          <w:sz w:val="32"/>
          <w:szCs w:val="32"/>
        </w:rPr>
        <w:lastRenderedPageBreak/>
        <w:t>附件二：</w:t>
      </w:r>
    </w:p>
    <w:p w14:paraId="40180E4E" w14:textId="77777777" w:rsidR="00722C02" w:rsidRDefault="00722C02">
      <w:pPr>
        <w:widowControl/>
        <w:tabs>
          <w:tab w:val="center" w:pos="4766"/>
          <w:tab w:val="left" w:pos="6716"/>
        </w:tabs>
        <w:spacing w:line="520" w:lineRule="exact"/>
        <w:rPr>
          <w:rFonts w:ascii="Songti SC" w:eastAsia="Songti SC" w:hAnsi="Songti SC" w:hint="eastAsia"/>
          <w:b/>
          <w:bCs/>
          <w:color w:val="000000"/>
          <w:kern w:val="0"/>
          <w:sz w:val="34"/>
          <w:szCs w:val="34"/>
        </w:rPr>
      </w:pPr>
    </w:p>
    <w:p w14:paraId="75E9A9B0" w14:textId="77777777" w:rsidR="00722C02" w:rsidRDefault="00000000">
      <w:pPr>
        <w:widowControl/>
        <w:tabs>
          <w:tab w:val="center" w:pos="4766"/>
          <w:tab w:val="left" w:pos="6716"/>
        </w:tabs>
        <w:spacing w:line="520" w:lineRule="exact"/>
        <w:jc w:val="center"/>
        <w:rPr>
          <w:rFonts w:ascii="Songti SC" w:eastAsia="Songti SC" w:hAnsi="Songti SC" w:hint="eastAsia"/>
          <w:b/>
          <w:bCs/>
          <w:color w:val="000000"/>
          <w:kern w:val="0"/>
          <w:sz w:val="34"/>
          <w:szCs w:val="34"/>
        </w:rPr>
      </w:pPr>
      <w:r>
        <w:rPr>
          <w:rFonts w:ascii="Songti SC" w:eastAsia="Songti SC" w:hAnsi="Songti SC" w:hint="eastAsia"/>
          <w:b/>
          <w:bCs/>
          <w:color w:val="000000"/>
          <w:kern w:val="0"/>
          <w:sz w:val="34"/>
          <w:szCs w:val="34"/>
        </w:rPr>
        <w:t>上海国家会计学院公共数据资产管理研修班</w:t>
      </w:r>
    </w:p>
    <w:p w14:paraId="201FBF99" w14:textId="77777777" w:rsidR="00722C02" w:rsidRDefault="00000000">
      <w:pPr>
        <w:widowControl/>
        <w:tabs>
          <w:tab w:val="center" w:pos="4766"/>
          <w:tab w:val="left" w:pos="6716"/>
        </w:tabs>
        <w:spacing w:line="520" w:lineRule="exact"/>
        <w:jc w:val="center"/>
        <w:rPr>
          <w:rFonts w:ascii="Songti SC" w:eastAsia="Songti SC" w:hAnsi="Songti SC" w:hint="eastAsia"/>
          <w:b/>
          <w:bCs/>
          <w:color w:val="000000"/>
          <w:kern w:val="0"/>
          <w:sz w:val="34"/>
          <w:szCs w:val="34"/>
        </w:rPr>
      </w:pPr>
      <w:r>
        <w:rPr>
          <w:rFonts w:ascii="Songti SC" w:eastAsia="Songti SC" w:hAnsi="Songti SC" w:hint="eastAsia"/>
          <w:b/>
          <w:bCs/>
          <w:color w:val="000000"/>
          <w:kern w:val="0"/>
          <w:sz w:val="34"/>
          <w:szCs w:val="34"/>
        </w:rPr>
        <w:t>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709"/>
        <w:gridCol w:w="1376"/>
        <w:gridCol w:w="1034"/>
        <w:gridCol w:w="396"/>
        <w:gridCol w:w="596"/>
        <w:gridCol w:w="396"/>
        <w:gridCol w:w="2385"/>
      </w:tblGrid>
      <w:tr w:rsidR="00722C02" w14:paraId="6FB37030"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61164" w14:textId="77777777" w:rsidR="00722C02" w:rsidRDefault="00000000">
            <w:pPr>
              <w:wordWrap w:val="0"/>
              <w:autoSpaceDN w:val="0"/>
              <w:spacing w:before="156" w:after="156"/>
              <w:rPr>
                <w:rFonts w:ascii="仿宋" w:eastAsia="仿宋" w:hAnsi="仿宋" w:hint="eastAsia"/>
                <w:color w:val="58595B"/>
                <w:szCs w:val="21"/>
              </w:rPr>
            </w:pPr>
            <w:bookmarkStart w:id="0" w:name="_Hlk82519880"/>
            <w:r>
              <w:rPr>
                <w:rFonts w:ascii="仿宋" w:eastAsia="仿宋" w:hAnsi="仿宋" w:hint="eastAsia"/>
                <w:b/>
                <w:color w:val="000000"/>
                <w:szCs w:val="21"/>
              </w:rPr>
              <w:t>单位名称</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2E19" w14:textId="77777777" w:rsidR="00722C02" w:rsidRDefault="00722C02">
            <w:pPr>
              <w:wordWrap w:val="0"/>
              <w:autoSpaceDN w:val="0"/>
              <w:jc w:val="center"/>
              <w:rPr>
                <w:rFonts w:ascii="仿宋" w:eastAsia="仿宋" w:hAnsi="仿宋" w:hint="eastAsia"/>
                <w:color w:val="58595B"/>
                <w:szCs w:val="21"/>
              </w:rPr>
            </w:pPr>
          </w:p>
        </w:tc>
      </w:tr>
      <w:tr w:rsidR="00722C02" w14:paraId="0DAB67B0"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3CC0F" w14:textId="77777777" w:rsidR="00722C02" w:rsidRDefault="00000000">
            <w:pPr>
              <w:tabs>
                <w:tab w:val="left" w:pos="360"/>
                <w:tab w:val="left" w:pos="540"/>
              </w:tabs>
              <w:wordWrap w:val="0"/>
              <w:autoSpaceDN w:val="0"/>
              <w:spacing w:before="156" w:after="156"/>
              <w:jc w:val="center"/>
              <w:rPr>
                <w:rFonts w:ascii="仿宋" w:eastAsia="仿宋" w:hAnsi="仿宋" w:hint="eastAsia"/>
                <w:color w:val="58595B"/>
                <w:szCs w:val="21"/>
              </w:rPr>
            </w:pPr>
            <w:r>
              <w:rPr>
                <w:rFonts w:ascii="仿宋" w:eastAsia="仿宋" w:hAnsi="仿宋"/>
                <w:b/>
                <w:color w:val="000000"/>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84793" w14:textId="77777777" w:rsidR="00722C02" w:rsidRDefault="00722C02">
            <w:pPr>
              <w:tabs>
                <w:tab w:val="left" w:pos="360"/>
                <w:tab w:val="left" w:pos="540"/>
              </w:tabs>
              <w:wordWrap w:val="0"/>
              <w:autoSpaceDN w:val="0"/>
              <w:jc w:val="center"/>
              <w:rPr>
                <w:rFonts w:ascii="仿宋" w:eastAsia="仿宋" w:hAnsi="仿宋" w:hint="eastAsia"/>
                <w:color w:val="58595B"/>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E89FF" w14:textId="77777777" w:rsidR="00722C02" w:rsidRDefault="00000000">
            <w:pPr>
              <w:tabs>
                <w:tab w:val="left" w:pos="360"/>
                <w:tab w:val="left" w:pos="540"/>
              </w:tabs>
              <w:wordWrap w:val="0"/>
              <w:autoSpaceDN w:val="0"/>
              <w:ind w:left="27"/>
              <w:jc w:val="center"/>
              <w:rPr>
                <w:rFonts w:ascii="仿宋" w:eastAsia="仿宋" w:hAnsi="仿宋" w:hint="eastAsia"/>
                <w:b/>
                <w:color w:val="58595B"/>
                <w:szCs w:val="21"/>
              </w:rPr>
            </w:pPr>
            <w:r>
              <w:rPr>
                <w:rFonts w:ascii="仿宋" w:eastAsia="仿宋" w:hAnsi="仿宋" w:hint="eastAsia"/>
                <w:b/>
                <w:color w:val="000000"/>
                <w:szCs w:val="21"/>
              </w:rPr>
              <w:t>电话</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A80F34C" w14:textId="77777777" w:rsidR="00722C02" w:rsidRDefault="00722C02">
            <w:pPr>
              <w:tabs>
                <w:tab w:val="left" w:pos="360"/>
                <w:tab w:val="left" w:pos="540"/>
              </w:tabs>
              <w:wordWrap w:val="0"/>
              <w:autoSpaceDN w:val="0"/>
              <w:ind w:left="27"/>
              <w:jc w:val="center"/>
              <w:rPr>
                <w:rFonts w:ascii="仿宋" w:eastAsia="仿宋" w:hAnsi="仿宋" w:hint="eastAsia"/>
                <w:b/>
                <w:color w:val="58595B"/>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0028786" w14:textId="77777777" w:rsidR="00722C02" w:rsidRDefault="00000000">
            <w:pPr>
              <w:tabs>
                <w:tab w:val="left" w:pos="360"/>
                <w:tab w:val="left" w:pos="540"/>
              </w:tabs>
              <w:wordWrap w:val="0"/>
              <w:autoSpaceDN w:val="0"/>
              <w:ind w:left="27"/>
              <w:jc w:val="center"/>
              <w:rPr>
                <w:rFonts w:ascii="仿宋" w:eastAsia="仿宋" w:hAnsi="仿宋" w:hint="eastAsia"/>
                <w:b/>
                <w:color w:val="58595B"/>
                <w:szCs w:val="21"/>
              </w:rPr>
            </w:pPr>
            <w:r>
              <w:rPr>
                <w:rFonts w:ascii="仿宋" w:eastAsia="仿宋" w:hAnsi="仿宋"/>
                <w:b/>
                <w:color w:val="000000"/>
                <w:szCs w:val="21"/>
              </w:rPr>
              <w:t>邮箱</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1C15DC26" w14:textId="77777777" w:rsidR="00722C02" w:rsidRDefault="00722C02">
            <w:pPr>
              <w:tabs>
                <w:tab w:val="left" w:pos="360"/>
                <w:tab w:val="left" w:pos="540"/>
              </w:tabs>
              <w:wordWrap w:val="0"/>
              <w:autoSpaceDN w:val="0"/>
              <w:ind w:left="27"/>
              <w:jc w:val="center"/>
              <w:rPr>
                <w:rFonts w:ascii="仿宋" w:eastAsia="仿宋" w:hAnsi="仿宋" w:hint="eastAsia"/>
                <w:color w:val="58595B"/>
                <w:szCs w:val="21"/>
              </w:rPr>
            </w:pPr>
          </w:p>
        </w:tc>
      </w:tr>
      <w:tr w:rsidR="00722C02" w14:paraId="2A7FBEA3"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5822A" w14:textId="77777777" w:rsidR="00722C02" w:rsidRDefault="00000000">
            <w:pPr>
              <w:tabs>
                <w:tab w:val="left" w:pos="360"/>
                <w:tab w:val="left" w:pos="540"/>
              </w:tabs>
              <w:wordWrap w:val="0"/>
              <w:autoSpaceDN w:val="0"/>
              <w:spacing w:before="156" w:after="156"/>
              <w:jc w:val="center"/>
              <w:rPr>
                <w:rFonts w:ascii="仿宋" w:eastAsia="仿宋" w:hAnsi="仿宋" w:hint="eastAsia"/>
                <w:b/>
                <w:color w:val="000000"/>
                <w:szCs w:val="21"/>
              </w:rPr>
            </w:pPr>
            <w:r>
              <w:rPr>
                <w:rFonts w:ascii="仿宋" w:eastAsia="仿宋" w:hAnsi="仿宋" w:hint="eastAsia"/>
                <w:b/>
                <w:color w:val="000000"/>
                <w:szCs w:val="21"/>
              </w:rPr>
              <w:t>参加课程</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F33B6" w14:textId="77777777" w:rsidR="00722C02" w:rsidRDefault="00722C02">
            <w:pPr>
              <w:tabs>
                <w:tab w:val="left" w:pos="360"/>
                <w:tab w:val="left" w:pos="540"/>
              </w:tabs>
              <w:wordWrap w:val="0"/>
              <w:autoSpaceDN w:val="0"/>
              <w:ind w:left="27"/>
              <w:jc w:val="center"/>
              <w:rPr>
                <w:rFonts w:ascii="仿宋" w:eastAsia="仿宋" w:hAnsi="仿宋" w:hint="eastAsia"/>
                <w:color w:val="58595B"/>
                <w:szCs w:val="21"/>
              </w:rPr>
            </w:pPr>
          </w:p>
        </w:tc>
      </w:tr>
      <w:tr w:rsidR="00722C02" w14:paraId="1D8EFD4E"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12DD0" w14:textId="77777777" w:rsidR="00722C02" w:rsidRDefault="00000000">
            <w:pPr>
              <w:tabs>
                <w:tab w:val="left" w:pos="360"/>
                <w:tab w:val="left" w:pos="540"/>
              </w:tabs>
              <w:wordWrap w:val="0"/>
              <w:autoSpaceDN w:val="0"/>
              <w:spacing w:before="156" w:after="156"/>
              <w:rPr>
                <w:rFonts w:ascii="仿宋" w:eastAsia="仿宋" w:hAnsi="仿宋" w:hint="eastAsia"/>
                <w:b/>
                <w:color w:val="000000"/>
                <w:szCs w:val="21"/>
              </w:rPr>
            </w:pPr>
            <w:r>
              <w:rPr>
                <w:rFonts w:ascii="仿宋" w:eastAsia="仿宋" w:hAnsi="仿宋" w:hint="eastAsia"/>
                <w:b/>
                <w:color w:val="000000"/>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739AF" w14:textId="77777777" w:rsidR="00722C02" w:rsidRDefault="00000000">
            <w:pPr>
              <w:tabs>
                <w:tab w:val="left" w:pos="360"/>
                <w:tab w:val="left" w:pos="540"/>
              </w:tabs>
              <w:wordWrap w:val="0"/>
              <w:autoSpaceDN w:val="0"/>
              <w:rPr>
                <w:rFonts w:ascii="仿宋" w:eastAsia="仿宋" w:hAnsi="仿宋" w:hint="eastAsia"/>
                <w:b/>
                <w:color w:val="000000"/>
                <w:spacing w:val="-26"/>
                <w:szCs w:val="21"/>
              </w:rPr>
            </w:pPr>
            <w:r>
              <w:rPr>
                <w:rFonts w:ascii="仿宋" w:eastAsia="仿宋" w:hAnsi="仿宋"/>
                <w:b/>
                <w:color w:val="000000"/>
                <w:spacing w:val="-26"/>
                <w:szCs w:val="21"/>
              </w:rPr>
              <w:t>性别</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CE677" w14:textId="77777777" w:rsidR="00722C02" w:rsidRDefault="00000000">
            <w:pPr>
              <w:tabs>
                <w:tab w:val="left" w:pos="360"/>
                <w:tab w:val="left" w:pos="540"/>
              </w:tabs>
              <w:wordWrap w:val="0"/>
              <w:autoSpaceDN w:val="0"/>
              <w:jc w:val="center"/>
              <w:rPr>
                <w:rFonts w:ascii="仿宋" w:eastAsia="仿宋" w:hAnsi="仿宋" w:hint="eastAsia"/>
                <w:b/>
                <w:color w:val="000000"/>
                <w:szCs w:val="21"/>
              </w:rPr>
            </w:pPr>
            <w:r>
              <w:rPr>
                <w:rFonts w:ascii="仿宋" w:eastAsia="仿宋" w:hAnsi="仿宋" w:hint="eastAsia"/>
                <w:b/>
                <w:color w:val="000000"/>
                <w:szCs w:val="21"/>
              </w:rPr>
              <w:t>职务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E621F66" w14:textId="77777777" w:rsidR="00722C02" w:rsidRDefault="00000000">
            <w:pPr>
              <w:tabs>
                <w:tab w:val="left" w:pos="360"/>
                <w:tab w:val="left" w:pos="540"/>
              </w:tabs>
              <w:wordWrap w:val="0"/>
              <w:autoSpaceDN w:val="0"/>
              <w:jc w:val="center"/>
              <w:rPr>
                <w:rFonts w:ascii="仿宋" w:eastAsia="仿宋" w:hAnsi="仿宋" w:hint="eastAsia"/>
                <w:b/>
                <w:color w:val="000000"/>
                <w:szCs w:val="21"/>
              </w:rPr>
            </w:pPr>
            <w:r>
              <w:rPr>
                <w:rFonts w:ascii="仿宋" w:eastAsia="仿宋" w:hAnsi="仿宋" w:hint="eastAsia"/>
                <w:b/>
                <w:color w:val="000000"/>
                <w:szCs w:val="21"/>
              </w:rPr>
              <w:t>手机号码</w:t>
            </w: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B606E" w14:textId="77777777" w:rsidR="00722C02" w:rsidRDefault="00000000">
            <w:pPr>
              <w:tabs>
                <w:tab w:val="left" w:pos="360"/>
                <w:tab w:val="left" w:pos="540"/>
              </w:tabs>
              <w:wordWrap w:val="0"/>
              <w:autoSpaceDN w:val="0"/>
              <w:ind w:left="27"/>
              <w:jc w:val="center"/>
              <w:rPr>
                <w:rFonts w:ascii="仿宋" w:eastAsia="仿宋" w:hAnsi="仿宋" w:hint="eastAsia"/>
                <w:b/>
                <w:color w:val="000000"/>
                <w:szCs w:val="21"/>
              </w:rPr>
            </w:pPr>
            <w:r>
              <w:rPr>
                <w:rFonts w:ascii="仿宋" w:eastAsia="仿宋" w:hAnsi="仿宋"/>
                <w:b/>
                <w:color w:val="000000"/>
                <w:szCs w:val="21"/>
              </w:rPr>
              <w:t>电子邮箱</w:t>
            </w:r>
          </w:p>
        </w:tc>
      </w:tr>
      <w:tr w:rsidR="00722C02" w14:paraId="36E8E4CE"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86CA9"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D4246"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437B9"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34A61D7"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84055"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47DA9D67"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E8A34"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BECA"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C1350"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3EDCC49"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2FFC3"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28EEF43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54FC9"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2A3EB"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7364D"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22B1033"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94168"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6EE7119F"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AEB97"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D005C"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390AF"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4223316"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E9E97"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25F895D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BE9E3"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87D4F"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C235A"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50523DE"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DABE7"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016B3F36"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9E3B3"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12E82"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1FAF4"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EA558A7"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6DBCD"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2FA712C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4B823"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8CF10"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C6E91"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B9A996E"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CC1E4"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3335E335"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76888" w14:textId="77777777" w:rsidR="00722C02" w:rsidRDefault="00722C02">
            <w:pPr>
              <w:tabs>
                <w:tab w:val="left" w:pos="360"/>
                <w:tab w:val="left" w:pos="540"/>
              </w:tabs>
              <w:wordWrap w:val="0"/>
              <w:autoSpaceDN w:val="0"/>
              <w:spacing w:before="156" w:after="156"/>
              <w:rPr>
                <w:rFonts w:ascii="仿宋" w:eastAsia="仿宋" w:hAnsi="仿宋" w:hint="eastAsia"/>
                <w:b/>
                <w:color w:val="000000"/>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1EAE4" w14:textId="77777777" w:rsidR="00722C02" w:rsidRDefault="00722C02">
            <w:pPr>
              <w:tabs>
                <w:tab w:val="left" w:pos="360"/>
                <w:tab w:val="left" w:pos="540"/>
              </w:tabs>
              <w:wordWrap w:val="0"/>
              <w:autoSpaceDN w:val="0"/>
              <w:rPr>
                <w:rFonts w:ascii="仿宋" w:eastAsia="仿宋" w:hAnsi="仿宋" w:hint="eastAsia"/>
                <w:b/>
                <w:color w:val="000000"/>
                <w:spacing w:val="-26"/>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D2398"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22B2DE0" w14:textId="77777777" w:rsidR="00722C02" w:rsidRDefault="00722C02">
            <w:pPr>
              <w:tabs>
                <w:tab w:val="left" w:pos="360"/>
                <w:tab w:val="left" w:pos="540"/>
              </w:tabs>
              <w:wordWrap w:val="0"/>
              <w:autoSpaceDN w:val="0"/>
              <w:jc w:val="center"/>
              <w:rPr>
                <w:rFonts w:ascii="仿宋" w:eastAsia="仿宋" w:hAnsi="仿宋" w:hint="eastAsia"/>
                <w:b/>
                <w:color w:val="000000"/>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BB1EF" w14:textId="77777777" w:rsidR="00722C02" w:rsidRDefault="00722C02">
            <w:pPr>
              <w:tabs>
                <w:tab w:val="left" w:pos="360"/>
                <w:tab w:val="left" w:pos="540"/>
              </w:tabs>
              <w:wordWrap w:val="0"/>
              <w:autoSpaceDN w:val="0"/>
              <w:ind w:left="27"/>
              <w:jc w:val="center"/>
              <w:rPr>
                <w:rFonts w:ascii="仿宋" w:eastAsia="仿宋" w:hAnsi="仿宋" w:hint="eastAsia"/>
                <w:b/>
                <w:color w:val="000000"/>
                <w:szCs w:val="21"/>
              </w:rPr>
            </w:pPr>
          </w:p>
        </w:tc>
      </w:tr>
      <w:tr w:rsidR="00722C02" w14:paraId="14745A91"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A49BD" w14:textId="77777777" w:rsidR="00722C02" w:rsidRDefault="00000000">
            <w:pPr>
              <w:tabs>
                <w:tab w:val="left" w:pos="360"/>
                <w:tab w:val="left" w:pos="540"/>
              </w:tabs>
              <w:wordWrap w:val="0"/>
              <w:autoSpaceDN w:val="0"/>
              <w:spacing w:before="156" w:after="156"/>
              <w:rPr>
                <w:rFonts w:ascii="仿宋" w:eastAsia="仿宋" w:hAnsi="仿宋" w:hint="eastAsia"/>
                <w:b/>
                <w:color w:val="000000"/>
                <w:szCs w:val="21"/>
              </w:rPr>
            </w:pPr>
            <w:r>
              <w:rPr>
                <w:rFonts w:ascii="仿宋" w:eastAsia="仿宋" w:hAnsi="仿宋" w:hint="eastAsia"/>
                <w:b/>
                <w:color w:val="000000"/>
                <w:szCs w:val="21"/>
              </w:rPr>
              <w:t>课程选择</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B9733" w14:textId="77777777" w:rsidR="00722C02" w:rsidRDefault="00000000">
            <w:pPr>
              <w:tabs>
                <w:tab w:val="left" w:pos="360"/>
                <w:tab w:val="left" w:pos="540"/>
              </w:tabs>
              <w:wordWrap w:val="0"/>
              <w:autoSpaceDN w:val="0"/>
              <w:ind w:left="27"/>
              <w:jc w:val="center"/>
              <w:rPr>
                <w:rFonts w:ascii="仿宋" w:eastAsia="仿宋" w:hAnsi="仿宋" w:hint="eastAsia"/>
                <w:b/>
                <w:color w:val="000000"/>
                <w:szCs w:val="21"/>
              </w:rPr>
            </w:pPr>
            <w:r>
              <w:rPr>
                <w:rFonts w:ascii="仿宋" w:eastAsia="仿宋" w:hAnsi="仿宋" w:hint="eastAsia"/>
                <w:color w:val="58595B"/>
                <w:szCs w:val="21"/>
              </w:rPr>
              <w:t>选择参加培训第（ ）期</w:t>
            </w:r>
          </w:p>
        </w:tc>
      </w:tr>
      <w:tr w:rsidR="00722C02" w14:paraId="60FBE788"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33AC0" w14:textId="77777777" w:rsidR="00722C02" w:rsidRDefault="00000000">
            <w:pPr>
              <w:tabs>
                <w:tab w:val="left" w:pos="360"/>
                <w:tab w:val="left" w:pos="540"/>
              </w:tabs>
              <w:wordWrap w:val="0"/>
              <w:autoSpaceDN w:val="0"/>
              <w:spacing w:before="156" w:after="156"/>
              <w:jc w:val="center"/>
              <w:rPr>
                <w:rFonts w:ascii="仿宋" w:eastAsia="仿宋" w:hAnsi="仿宋" w:hint="eastAsia"/>
                <w:color w:val="58595B"/>
                <w:szCs w:val="21"/>
              </w:rPr>
            </w:pPr>
            <w:r>
              <w:rPr>
                <w:rFonts w:ascii="仿宋" w:eastAsia="仿宋" w:hAnsi="仿宋"/>
                <w:b/>
                <w:color w:val="000000"/>
                <w:szCs w:val="21"/>
              </w:rPr>
              <w:t>费用总计</w:t>
            </w:r>
          </w:p>
        </w:tc>
        <w:tc>
          <w:tcPr>
            <w:tcW w:w="481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1BBEE" w14:textId="77777777" w:rsidR="00722C02" w:rsidRDefault="00000000">
            <w:pPr>
              <w:spacing w:line="340" w:lineRule="exact"/>
              <w:jc w:val="center"/>
              <w:rPr>
                <w:rFonts w:ascii="仿宋" w:eastAsia="仿宋" w:hAnsi="仿宋" w:hint="eastAsia"/>
                <w:bCs/>
                <w:szCs w:val="21"/>
              </w:rPr>
            </w:pPr>
            <w:r>
              <w:rPr>
                <w:rFonts w:ascii="仿宋" w:eastAsia="仿宋" w:hAnsi="仿宋" w:hint="eastAsia"/>
                <w:bCs/>
                <w:szCs w:val="21"/>
              </w:rPr>
              <w:t xml:space="preserve"> 万  </w:t>
            </w:r>
            <w:proofErr w:type="gramStart"/>
            <w:r>
              <w:rPr>
                <w:rFonts w:ascii="仿宋" w:eastAsia="仿宋" w:hAnsi="仿宋" w:hint="eastAsia"/>
                <w:bCs/>
                <w:szCs w:val="21"/>
              </w:rPr>
              <w:t>仟</w:t>
            </w:r>
            <w:proofErr w:type="gramEnd"/>
            <w:r>
              <w:rPr>
                <w:rFonts w:ascii="仿宋" w:eastAsia="仿宋" w:hAnsi="仿宋" w:hint="eastAsia"/>
                <w:bCs/>
                <w:szCs w:val="21"/>
              </w:rPr>
              <w:t xml:space="preserve"> </w:t>
            </w:r>
            <w:r>
              <w:rPr>
                <w:rFonts w:ascii="仿宋" w:eastAsia="仿宋" w:hAnsi="仿宋"/>
                <w:bCs/>
                <w:szCs w:val="21"/>
              </w:rPr>
              <w:t xml:space="preserve"> </w:t>
            </w:r>
            <w:r>
              <w:rPr>
                <w:rFonts w:ascii="仿宋" w:eastAsia="仿宋" w:hAnsi="仿宋"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836DAE" w14:textId="77777777" w:rsidR="00722C02" w:rsidRDefault="00000000">
            <w:pPr>
              <w:spacing w:line="340" w:lineRule="exact"/>
              <w:jc w:val="center"/>
              <w:rPr>
                <w:rFonts w:ascii="仿宋" w:eastAsia="仿宋" w:hAnsi="仿宋" w:hint="eastAsia"/>
                <w:b/>
                <w:bCs/>
                <w:szCs w:val="21"/>
              </w:rPr>
            </w:pPr>
            <w:r>
              <w:rPr>
                <w:rFonts w:ascii="仿宋" w:eastAsia="仿宋" w:hAnsi="仿宋" w:hint="eastAsia"/>
                <w:b/>
                <w:bCs/>
                <w:szCs w:val="21"/>
              </w:rPr>
              <w:t>小写</w:t>
            </w:r>
          </w:p>
        </w:tc>
        <w:tc>
          <w:tcPr>
            <w:tcW w:w="2385" w:type="dxa"/>
            <w:tcBorders>
              <w:top w:val="single" w:sz="4" w:space="0" w:color="000000"/>
              <w:left w:val="single" w:sz="4" w:space="0" w:color="000000"/>
              <w:bottom w:val="single" w:sz="4" w:space="0" w:color="000000"/>
              <w:right w:val="single" w:sz="4" w:space="0" w:color="000000"/>
            </w:tcBorders>
            <w:vAlign w:val="center"/>
          </w:tcPr>
          <w:p w14:paraId="38138C58" w14:textId="77777777" w:rsidR="00722C02" w:rsidRDefault="00000000">
            <w:pPr>
              <w:spacing w:line="340" w:lineRule="exact"/>
              <w:rPr>
                <w:rFonts w:ascii="仿宋" w:eastAsia="仿宋" w:hAnsi="仿宋" w:hint="eastAsia"/>
                <w:bCs/>
                <w:szCs w:val="21"/>
              </w:rPr>
            </w:pPr>
            <w:r>
              <w:rPr>
                <w:rFonts w:ascii="仿宋" w:eastAsia="仿宋" w:hAnsi="仿宋" w:hint="eastAsia"/>
                <w:bCs/>
                <w:szCs w:val="21"/>
              </w:rPr>
              <w:t>￥：</w:t>
            </w:r>
          </w:p>
        </w:tc>
      </w:tr>
      <w:tr w:rsidR="00722C02" w14:paraId="33FA4566" w14:textId="77777777">
        <w:trPr>
          <w:trHeight w:val="154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E24E6" w14:textId="77777777" w:rsidR="00722C02" w:rsidRDefault="00000000">
            <w:pPr>
              <w:tabs>
                <w:tab w:val="left" w:pos="360"/>
                <w:tab w:val="left" w:pos="540"/>
              </w:tabs>
              <w:wordWrap w:val="0"/>
              <w:autoSpaceDN w:val="0"/>
              <w:rPr>
                <w:rFonts w:ascii="仿宋" w:eastAsia="仿宋" w:hAnsi="仿宋" w:hint="eastAsia"/>
                <w:b/>
                <w:color w:val="000000"/>
                <w:szCs w:val="21"/>
              </w:rPr>
            </w:pPr>
            <w:r>
              <w:rPr>
                <w:rFonts w:ascii="仿宋" w:eastAsia="仿宋" w:hAnsi="仿宋" w:hint="eastAsia"/>
                <w:b/>
                <w:color w:val="000000"/>
                <w:szCs w:val="21"/>
              </w:rPr>
              <w:t>报名程序：</w:t>
            </w:r>
          </w:p>
          <w:p w14:paraId="5D0A52E3" w14:textId="77777777" w:rsidR="00722C02" w:rsidRDefault="00000000">
            <w:pPr>
              <w:tabs>
                <w:tab w:val="left" w:pos="360"/>
                <w:tab w:val="left" w:pos="540"/>
              </w:tabs>
              <w:wordWrap w:val="0"/>
              <w:autoSpaceDN w:val="0"/>
              <w:ind w:left="27"/>
              <w:jc w:val="center"/>
              <w:rPr>
                <w:rFonts w:ascii="仿宋" w:eastAsia="仿宋" w:hAnsi="仿宋" w:hint="eastAsia"/>
                <w:bCs/>
                <w:color w:val="000000"/>
                <w:szCs w:val="21"/>
              </w:rPr>
            </w:pPr>
            <w:r>
              <w:rPr>
                <w:rFonts w:ascii="仿宋" w:eastAsia="仿宋" w:hAnsi="仿宋" w:hint="eastAsia"/>
                <w:bCs/>
                <w:color w:val="000000"/>
                <w:szCs w:val="21"/>
              </w:rPr>
              <w:t>线上班培训费报名后电汇至上海国家会计学院，线下班</w:t>
            </w:r>
            <w:proofErr w:type="gramStart"/>
            <w:r>
              <w:rPr>
                <w:rFonts w:ascii="仿宋" w:eastAsia="仿宋" w:hAnsi="仿宋" w:hint="eastAsia"/>
                <w:bCs/>
                <w:color w:val="000000"/>
                <w:szCs w:val="21"/>
              </w:rPr>
              <w:t>课培训</w:t>
            </w:r>
            <w:proofErr w:type="gramEnd"/>
            <w:r>
              <w:rPr>
                <w:rFonts w:ascii="仿宋" w:eastAsia="仿宋" w:hAnsi="仿宋" w:hint="eastAsia"/>
                <w:bCs/>
                <w:color w:val="000000"/>
                <w:szCs w:val="21"/>
              </w:rPr>
              <w:t>费可以选择电汇或报到时交纳,食宿</w:t>
            </w:r>
            <w:proofErr w:type="gramStart"/>
            <w:r>
              <w:rPr>
                <w:rFonts w:ascii="仿宋" w:eastAsia="仿宋" w:hAnsi="仿宋" w:hint="eastAsia"/>
                <w:bCs/>
                <w:color w:val="000000"/>
                <w:szCs w:val="21"/>
              </w:rPr>
              <w:t>费现场</w:t>
            </w:r>
            <w:proofErr w:type="gramEnd"/>
            <w:r>
              <w:rPr>
                <w:rFonts w:ascii="仿宋" w:eastAsia="仿宋" w:hAnsi="仿宋" w:hint="eastAsia"/>
                <w:bCs/>
                <w:color w:val="000000"/>
                <w:szCs w:val="21"/>
              </w:rPr>
              <w:t>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AA54E" w14:textId="77777777" w:rsidR="00722C02" w:rsidRDefault="00000000">
            <w:pPr>
              <w:tabs>
                <w:tab w:val="left" w:pos="360"/>
                <w:tab w:val="left" w:pos="540"/>
              </w:tabs>
              <w:wordWrap w:val="0"/>
              <w:autoSpaceDN w:val="0"/>
              <w:rPr>
                <w:rFonts w:ascii="仿宋" w:eastAsia="仿宋" w:hAnsi="仿宋" w:hint="eastAsia"/>
                <w:b/>
                <w:color w:val="000000"/>
                <w:szCs w:val="21"/>
              </w:rPr>
            </w:pPr>
            <w:r>
              <w:rPr>
                <w:rFonts w:ascii="仿宋" w:eastAsia="仿宋" w:hAnsi="仿宋" w:hint="eastAsia"/>
                <w:b/>
                <w:color w:val="000000"/>
                <w:szCs w:val="21"/>
              </w:rPr>
              <w:t>请将培训费汇至以下账户：</w:t>
            </w:r>
          </w:p>
          <w:p w14:paraId="49448F2E" w14:textId="77777777" w:rsidR="00722C02" w:rsidRDefault="00000000">
            <w:pPr>
              <w:tabs>
                <w:tab w:val="left" w:pos="360"/>
                <w:tab w:val="left" w:pos="540"/>
              </w:tabs>
              <w:wordWrap w:val="0"/>
              <w:autoSpaceDN w:val="0"/>
              <w:rPr>
                <w:rFonts w:ascii="仿宋" w:eastAsia="仿宋" w:hAnsi="仿宋" w:hint="eastAsia"/>
                <w:bCs/>
                <w:color w:val="000000"/>
                <w:szCs w:val="21"/>
              </w:rPr>
            </w:pPr>
            <w:r>
              <w:rPr>
                <w:rFonts w:ascii="仿宋" w:eastAsia="仿宋" w:hAnsi="仿宋" w:hint="eastAsia"/>
                <w:bCs/>
                <w:color w:val="000000"/>
                <w:szCs w:val="21"/>
              </w:rPr>
              <w:t>学院开户行：中国建设银行上海徐泾支行</w:t>
            </w:r>
          </w:p>
          <w:p w14:paraId="6635BCA3" w14:textId="77777777" w:rsidR="00722C02" w:rsidRDefault="00000000">
            <w:pPr>
              <w:tabs>
                <w:tab w:val="left" w:pos="360"/>
                <w:tab w:val="left" w:pos="540"/>
              </w:tabs>
              <w:wordWrap w:val="0"/>
              <w:autoSpaceDN w:val="0"/>
              <w:rPr>
                <w:rFonts w:ascii="仿宋" w:eastAsia="仿宋" w:hAnsi="仿宋" w:hint="eastAsia"/>
                <w:bCs/>
                <w:color w:val="000000"/>
                <w:szCs w:val="21"/>
              </w:rPr>
            </w:pPr>
            <w:r>
              <w:rPr>
                <w:rFonts w:ascii="仿宋" w:eastAsia="仿宋" w:hAnsi="仿宋" w:hint="eastAsia"/>
                <w:bCs/>
                <w:color w:val="000000"/>
                <w:szCs w:val="21"/>
              </w:rPr>
              <w:t>单位名称：上海国家会计学院</w:t>
            </w:r>
          </w:p>
          <w:p w14:paraId="3692ACC1" w14:textId="77777777" w:rsidR="00722C02" w:rsidRDefault="00000000">
            <w:pPr>
              <w:tabs>
                <w:tab w:val="left" w:pos="360"/>
                <w:tab w:val="left" w:pos="540"/>
              </w:tabs>
              <w:wordWrap w:val="0"/>
              <w:autoSpaceDN w:val="0"/>
              <w:rPr>
                <w:rFonts w:ascii="仿宋" w:eastAsia="仿宋" w:hAnsi="仿宋" w:hint="eastAsia"/>
                <w:bCs/>
                <w:color w:val="000000"/>
                <w:szCs w:val="21"/>
              </w:rPr>
            </w:pPr>
            <w:r>
              <w:rPr>
                <w:rFonts w:ascii="仿宋" w:eastAsia="仿宋" w:hAnsi="仿宋" w:hint="eastAsia"/>
                <w:bCs/>
                <w:color w:val="000000"/>
                <w:szCs w:val="21"/>
              </w:rPr>
              <w:t>汇款账号：31001984300059768088</w:t>
            </w:r>
          </w:p>
        </w:tc>
      </w:tr>
      <w:bookmarkEnd w:id="0"/>
    </w:tbl>
    <w:p w14:paraId="2345395E" w14:textId="77777777" w:rsidR="00722C02" w:rsidRDefault="00722C02">
      <w:pPr>
        <w:widowControl/>
        <w:tabs>
          <w:tab w:val="center" w:pos="4766"/>
          <w:tab w:val="left" w:pos="6716"/>
        </w:tabs>
        <w:spacing w:line="480" w:lineRule="exact"/>
        <w:rPr>
          <w:rFonts w:ascii="Songti SC" w:eastAsia="Songti SC" w:hAnsi="Songti SC" w:hint="eastAsia"/>
          <w:b/>
          <w:bCs/>
          <w:color w:val="000000"/>
          <w:kern w:val="0"/>
          <w:sz w:val="32"/>
          <w:szCs w:val="30"/>
        </w:rPr>
      </w:pPr>
    </w:p>
    <w:p w14:paraId="31B6806C" w14:textId="77777777" w:rsidR="00722C02" w:rsidRDefault="00722C02">
      <w:pPr>
        <w:rPr>
          <w:rFonts w:hint="eastAsia"/>
        </w:rPr>
      </w:pPr>
    </w:p>
    <w:p w14:paraId="41698EB1" w14:textId="77777777" w:rsidR="00722C02" w:rsidRDefault="00722C02">
      <w:pPr>
        <w:widowControl/>
        <w:tabs>
          <w:tab w:val="center" w:pos="4766"/>
          <w:tab w:val="left" w:pos="6716"/>
        </w:tabs>
        <w:spacing w:line="480" w:lineRule="exact"/>
        <w:rPr>
          <w:rFonts w:ascii="仿宋_GB2312" w:eastAsia="仿宋_GB2312" w:hAnsi="Songti SC" w:hint="eastAsia"/>
          <w:color w:val="000000"/>
          <w:sz w:val="32"/>
          <w:szCs w:val="32"/>
        </w:rPr>
      </w:pPr>
    </w:p>
    <w:sectPr w:rsidR="00722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AE104" w14:textId="77777777" w:rsidR="001C3F57" w:rsidRDefault="001C3F57" w:rsidP="00643AF1">
      <w:pPr>
        <w:rPr>
          <w:rFonts w:hint="eastAsia"/>
        </w:rPr>
      </w:pPr>
      <w:r>
        <w:separator/>
      </w:r>
    </w:p>
  </w:endnote>
  <w:endnote w:type="continuationSeparator" w:id="0">
    <w:p w14:paraId="27D945E7" w14:textId="77777777" w:rsidR="001C3F57" w:rsidRDefault="001C3F57" w:rsidP="00643A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Songti SC">
    <w:altName w:val="微软雅黑"/>
    <w:charset w:val="86"/>
    <w:family w:val="auto"/>
    <w:pitch w:val="default"/>
    <w:sig w:usb0="00000000" w:usb1="00000000" w:usb2="00000000" w:usb3="00000000" w:csb0="0016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FBC7" w14:textId="77777777" w:rsidR="001C3F57" w:rsidRDefault="001C3F57" w:rsidP="00643AF1">
      <w:pPr>
        <w:rPr>
          <w:rFonts w:hint="eastAsia"/>
        </w:rPr>
      </w:pPr>
      <w:r>
        <w:separator/>
      </w:r>
    </w:p>
  </w:footnote>
  <w:footnote w:type="continuationSeparator" w:id="0">
    <w:p w14:paraId="3EEDC4AA" w14:textId="77777777" w:rsidR="001C3F57" w:rsidRDefault="001C3F57" w:rsidP="00643AF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F966C"/>
    <w:multiLevelType w:val="multilevel"/>
    <w:tmpl w:val="FFDF966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0000002"/>
    <w:multiLevelType w:val="multilevel"/>
    <w:tmpl w:val="000000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0000003"/>
    <w:multiLevelType w:val="multilevel"/>
    <w:tmpl w:val="000000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0000005"/>
    <w:multiLevelType w:val="multilevel"/>
    <w:tmpl w:val="0000000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000000B"/>
    <w:multiLevelType w:val="multilevel"/>
    <w:tmpl w:val="0000000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000000F"/>
    <w:multiLevelType w:val="multilevel"/>
    <w:tmpl w:val="0000000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0000010"/>
    <w:multiLevelType w:val="multilevel"/>
    <w:tmpl w:val="0000001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0668333">
    <w:abstractNumId w:val="0"/>
  </w:num>
  <w:num w:numId="2" w16cid:durableId="1760953870">
    <w:abstractNumId w:val="2"/>
  </w:num>
  <w:num w:numId="3" w16cid:durableId="1189488346">
    <w:abstractNumId w:val="3"/>
  </w:num>
  <w:num w:numId="4" w16cid:durableId="1858882840">
    <w:abstractNumId w:val="4"/>
  </w:num>
  <w:num w:numId="5" w16cid:durableId="1219979499">
    <w:abstractNumId w:val="6"/>
  </w:num>
  <w:num w:numId="6" w16cid:durableId="171722427">
    <w:abstractNumId w:val="5"/>
  </w:num>
  <w:num w:numId="7" w16cid:durableId="210390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278E"/>
    <w:rsid w:val="DFDBB681"/>
    <w:rsid w:val="00071A4F"/>
    <w:rsid w:val="001B35BF"/>
    <w:rsid w:val="001C3F57"/>
    <w:rsid w:val="001C4E64"/>
    <w:rsid w:val="001F7283"/>
    <w:rsid w:val="00204DDE"/>
    <w:rsid w:val="00360B31"/>
    <w:rsid w:val="0060144B"/>
    <w:rsid w:val="00643AF1"/>
    <w:rsid w:val="0070258D"/>
    <w:rsid w:val="00712ACB"/>
    <w:rsid w:val="00715C4C"/>
    <w:rsid w:val="00722C02"/>
    <w:rsid w:val="00793E36"/>
    <w:rsid w:val="007C00A7"/>
    <w:rsid w:val="007F278E"/>
    <w:rsid w:val="007F3057"/>
    <w:rsid w:val="0080530F"/>
    <w:rsid w:val="008369E3"/>
    <w:rsid w:val="008678CE"/>
    <w:rsid w:val="0088067E"/>
    <w:rsid w:val="00BE6D2F"/>
    <w:rsid w:val="00D3341A"/>
    <w:rsid w:val="00E667ED"/>
    <w:rsid w:val="00E8563D"/>
    <w:rsid w:val="00EF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87426B0"/>
  <w15:docId w15:val="{3FA17AB6-C9AF-42E8-978D-93161CA5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spacing w:after="160" w:line="278" w:lineRule="auto"/>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rFonts w:ascii="Times New Roman" w:hAnsi="Times New Roman" w:cs="Times New Roman"/>
      <w:sz w:val="24"/>
      <w:szCs w:val="24"/>
    </w:rPr>
  </w:style>
  <w:style w:type="paragraph" w:styleId="aa">
    <w:name w:val="Title"/>
    <w:basedOn w:val="a"/>
    <w:next w:val="a"/>
    <w:link w:val="ab"/>
    <w:uiPriority w:val="10"/>
    <w:qFormat/>
    <w:pPr>
      <w:spacing w:before="240" w:after="60"/>
      <w:jc w:val="center"/>
      <w:outlineLvl w:val="0"/>
    </w:pPr>
    <w:rPr>
      <w:rFonts w:ascii="等线 Light" w:eastAsia="等线 Light" w:hAnsi="等线 Light"/>
      <w:b/>
      <w:bCs/>
      <w:sz w:val="32"/>
      <w:szCs w:val="32"/>
    </w:rPr>
  </w:style>
  <w:style w:type="table" w:styleId="ac">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ab">
    <w:name w:val="标题 字符"/>
    <w:basedOn w:val="a0"/>
    <w:link w:val="aa"/>
    <w:uiPriority w:val="10"/>
    <w:qFormat/>
    <w:rPr>
      <w:rFonts w:ascii="等线 Light" w:eastAsia="等线 Light" w:hAnsi="等线 Light" w:cs="宋体"/>
      <w:b/>
      <w:bCs/>
      <w:sz w:val="32"/>
      <w:szCs w:val="32"/>
    </w:rPr>
  </w:style>
  <w:style w:type="character" w:customStyle="1" w:styleId="a4">
    <w:name w:val="批注文字 字符"/>
    <w:basedOn w:val="a0"/>
    <w:link w:val="a3"/>
    <w:uiPriority w:val="99"/>
    <w:qFormat/>
  </w:style>
  <w:style w:type="paragraph" w:customStyle="1" w:styleId="11">
    <w:name w:val="修订1"/>
    <w:uiPriority w:val="99"/>
    <w:qFormat/>
    <w:rPr>
      <w:kern w:val="2"/>
      <w:sz w:val="21"/>
      <w:szCs w:val="22"/>
    </w:rPr>
  </w:style>
  <w:style w:type="paragraph" w:styleId="af">
    <w:name w:val="No Spacing"/>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赵婷</dc:creator>
  <cp:lastModifiedBy>胡晓栋</cp:lastModifiedBy>
  <cp:revision>18</cp:revision>
  <dcterms:created xsi:type="dcterms:W3CDTF">2024-08-27T09:03:00Z</dcterms:created>
  <dcterms:modified xsi:type="dcterms:W3CDTF">2024-10-17T07:24:00Z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5f0f185baee347fb9df8f955343e78a8_23</vt:lpwstr>
  </property>
  <property fmtid="{D5CDD505-2E9C-101B-9397-08002B2CF9AE}" pid="3" name="KSOProductBuildVer">
    <vt:lpwstr>2052-5.5.1.7991</vt:lpwstr>
  </property>
</Properties>
</file>