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7AAA" w14:textId="77777777" w:rsidR="002445FF" w:rsidRDefault="00143226">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11189C4F" w14:textId="394E153D" w:rsidR="002445FF" w:rsidRDefault="00143226">
      <w:pPr>
        <w:spacing w:line="560" w:lineRule="exact"/>
        <w:jc w:val="center"/>
        <w:rPr>
          <w:rFonts w:ascii="宋体" w:eastAsia="宋体" w:hAnsi="宋体" w:cs="Times New Roman"/>
          <w:b/>
          <w:sz w:val="32"/>
          <w:szCs w:val="32"/>
        </w:rPr>
      </w:pPr>
      <w:r>
        <w:rPr>
          <w:rFonts w:ascii="宋体" w:eastAsia="宋体" w:hAnsi="宋体" w:cs="Times New Roman" w:hint="eastAsia"/>
          <w:b/>
          <w:sz w:val="32"/>
          <w:szCs w:val="32"/>
        </w:rPr>
        <w:t>上国会公管〔2022〕</w:t>
      </w:r>
      <w:r>
        <w:rPr>
          <w:rFonts w:ascii="宋体" w:eastAsia="宋体" w:hAnsi="宋体" w:cs="Times New Roman"/>
          <w:b/>
          <w:sz w:val="32"/>
          <w:szCs w:val="32"/>
        </w:rPr>
        <w:t>02</w:t>
      </w:r>
      <w:r w:rsidR="00802C8A">
        <w:rPr>
          <w:rFonts w:ascii="宋体" w:eastAsia="宋体" w:hAnsi="宋体" w:cs="Times New Roman"/>
          <w:b/>
          <w:sz w:val="32"/>
          <w:szCs w:val="32"/>
        </w:rPr>
        <w:t>3</w:t>
      </w:r>
      <w:r>
        <w:rPr>
          <w:rFonts w:ascii="宋体" w:eastAsia="宋体" w:hAnsi="宋体" w:cs="Times New Roman" w:hint="eastAsia"/>
          <w:b/>
          <w:sz w:val="32"/>
          <w:szCs w:val="32"/>
        </w:rPr>
        <w:t>号</w:t>
      </w:r>
    </w:p>
    <w:p w14:paraId="7831404A" w14:textId="77777777" w:rsidR="002445FF" w:rsidRDefault="00143226">
      <w:pP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4C433AC7" wp14:editId="4A32D309">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OVAfdUAAAAHAQAADwAAAAAAAAABACAAAAAiAAAAZHJz&#10;L2Rvd25yZXYueG1sUEsBAhQAFAAAAAgAh07iQPzgA+HOAQAAYAMAAA4AAAAAAAAAAQAgAAAAJAEA&#10;AGRycy9lMm9Eb2MueG1sUEsFBgAAAAAGAAYAWQEAAGQFAAAAAA==&#10;">
                <v:fill on="f" focussize="0,0"/>
                <v:stroke weight="2pt" color="#FF0000" joinstyle="round"/>
                <v:imagedata o:title=""/>
                <o:lock v:ext="edit" aspectratio="f"/>
              </v:line>
            </w:pict>
          </mc:Fallback>
        </mc:AlternateContent>
      </w:r>
    </w:p>
    <w:p w14:paraId="147C3C90" w14:textId="77777777" w:rsidR="002445FF" w:rsidRDefault="00143226">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cs="Times New Roman" w:hint="eastAsia"/>
          <w:b/>
          <w:sz w:val="28"/>
          <w:szCs w:val="28"/>
        </w:rPr>
        <w:t>“公立医院财务管理与高质量发展”案例教学系列课程</w:t>
      </w:r>
    </w:p>
    <w:p w14:paraId="7D2C2684" w14:textId="77777777" w:rsidR="002445FF" w:rsidRDefault="00143226">
      <w:pPr>
        <w:spacing w:line="500" w:lineRule="exact"/>
        <w:jc w:val="center"/>
        <w:rPr>
          <w:rFonts w:ascii="微软雅黑" w:eastAsia="微软雅黑" w:hAnsi="微软雅黑" w:cs="Times New Roman"/>
          <w:b/>
          <w:sz w:val="28"/>
          <w:szCs w:val="28"/>
        </w:rPr>
      </w:pPr>
      <w:r>
        <w:rPr>
          <w:rFonts w:ascii="微软雅黑" w:eastAsia="微软雅黑" w:hAnsi="微软雅黑" w:cs="Times New Roman" w:hint="eastAsia"/>
          <w:b/>
          <w:sz w:val="28"/>
          <w:szCs w:val="28"/>
        </w:rPr>
        <w:t>——新华医院财务管理支撑精细化运营(第2期)</w:t>
      </w:r>
    </w:p>
    <w:p w14:paraId="21CE9DBA" w14:textId="77777777" w:rsidR="002445FF" w:rsidRDefault="00143226">
      <w:pPr>
        <w:spacing w:line="500" w:lineRule="exact"/>
        <w:jc w:val="center"/>
        <w:rPr>
          <w:rFonts w:ascii="微软雅黑" w:eastAsia="微软雅黑" w:hAnsi="微软雅黑" w:cs="Times New Roman"/>
          <w:b/>
          <w:sz w:val="28"/>
          <w:szCs w:val="28"/>
        </w:rPr>
      </w:pPr>
      <w:r>
        <w:rPr>
          <w:rFonts w:ascii="微软雅黑" w:eastAsia="微软雅黑" w:hAnsi="微软雅黑" w:cs="Times New Roman" w:hint="eastAsia"/>
          <w:b/>
          <w:sz w:val="28"/>
          <w:szCs w:val="28"/>
        </w:rPr>
        <w:t>培训通知</w:t>
      </w:r>
    </w:p>
    <w:p w14:paraId="0E85A12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伴随着医药卫生体制改革工作的进一步深入，国家“十四五”规划中明确提出，要坚持基本医疗卫生事业的公益属性，加快优质医疗资源扩容和区域均衡布局，加快建设分级诊疗体系，加强公立医院建设和管理考核。改革不断迈入深水区，公立医院的管理体制和运行机制也发生着深刻的变化。面对发展方式粗放、运营管理精细化水平不高的问题，公立医院必须通过加强经济管理水平，建立起一整套以病人为中心的服务模式、以成本和质量控制为中心的管理模式、以医疗质量和服务水平绩效的分配模式，从而持续提高公立医院的医疗质量、运营效率及满意度评价，真正的实现公立医院高质量发展，更好的满足人民群众不断增长的医疗服务需求。在此过程中，财务管理工作作为公立医院经济管理工作的核心内容，是保证医院可持续发展与健康运营的最重要前提。</w:t>
      </w:r>
    </w:p>
    <w:p w14:paraId="3783C13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上海国家会计学院作为财政部直属的事业单位，常年坚持高层次、应用型的办学理念，通过对高水平财会人员的培养，积极服务财政中心工作，服务于现代化经济建设。</w:t>
      </w:r>
      <w:r>
        <w:rPr>
          <w:rFonts w:ascii="微软雅黑" w:eastAsia="微软雅黑" w:hAnsi="微软雅黑" w:hint="eastAsia"/>
          <w:sz w:val="24"/>
          <w:szCs w:val="24"/>
        </w:rPr>
        <w:t>2022年4月以来，上海国家会计学院先后联合了上海交通大学医学院附属新华医院、中国科学技术大学附属第一医院（安徽省立医院）、上海交通大学医学院附属瑞金医院举办了三期以“公立医院财务管理与高质量发展”为主题的案例式培训课程，在业界反响热烈。</w:t>
      </w:r>
    </w:p>
    <w:p w14:paraId="54990EDC"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首期新华医院的案例教学课程吸引了来自全国各地近300名学员报名参加，反响热烈，好评如潮。应广大学员强烈要求，结合最新的运营管理实践成果，上海国家会计学院联合新华医院，对部分课程内容进行了升级迭代，现计划于</w:t>
      </w:r>
      <w:r>
        <w:rPr>
          <w:rFonts w:ascii="微软雅黑" w:eastAsia="微软雅黑" w:hAnsi="微软雅黑"/>
          <w:sz w:val="24"/>
          <w:szCs w:val="24"/>
        </w:rPr>
        <w:t>8</w:t>
      </w:r>
      <w:r>
        <w:rPr>
          <w:rFonts w:ascii="微软雅黑" w:eastAsia="微软雅黑" w:hAnsi="微软雅黑" w:hint="eastAsia"/>
          <w:sz w:val="24"/>
          <w:szCs w:val="24"/>
        </w:rPr>
        <w:t>月</w:t>
      </w:r>
      <w:r>
        <w:rPr>
          <w:rFonts w:ascii="微软雅黑" w:eastAsia="微软雅黑" w:hAnsi="微软雅黑"/>
          <w:sz w:val="24"/>
          <w:szCs w:val="24"/>
        </w:rPr>
        <w:t>18</w:t>
      </w:r>
      <w:r>
        <w:rPr>
          <w:rFonts w:ascii="微软雅黑" w:eastAsia="微软雅黑" w:hAnsi="微软雅黑" w:hint="eastAsia"/>
          <w:sz w:val="24"/>
          <w:szCs w:val="24"/>
        </w:rPr>
        <w:t>日继续推出“公立医院财务管理与高质量发展” 案例教学系列课程——新华医院财务管理支持精细化运营(第2期)。</w:t>
      </w:r>
    </w:p>
    <w:p w14:paraId="0EDBF5A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新华医院第2期案例课程体系更为完善，内容更为丰富。既从政策层面分析了医药卫生体制改革对医院运营的影响，又从实践层面介绍了完整的医院运</w:t>
      </w:r>
      <w:r>
        <w:rPr>
          <w:rFonts w:ascii="微软雅黑" w:eastAsia="微软雅黑" w:hAnsi="微软雅黑" w:hint="eastAsia"/>
          <w:sz w:val="24"/>
          <w:szCs w:val="24"/>
        </w:rPr>
        <w:lastRenderedPageBreak/>
        <w:t>营管理体系建设全过程，为公立医院“破局”提供了全新思路。新华医院包括全面预算管理、价值</w:t>
      </w:r>
      <w:proofErr w:type="gramStart"/>
      <w:r>
        <w:rPr>
          <w:rFonts w:ascii="微软雅黑" w:eastAsia="微软雅黑" w:hAnsi="微软雅黑" w:hint="eastAsia"/>
          <w:sz w:val="24"/>
          <w:szCs w:val="24"/>
        </w:rPr>
        <w:t>链成本</w:t>
      </w:r>
      <w:proofErr w:type="gramEnd"/>
      <w:r>
        <w:rPr>
          <w:rFonts w:ascii="微软雅黑" w:eastAsia="微软雅黑" w:hAnsi="微软雅黑" w:hint="eastAsia"/>
          <w:sz w:val="24"/>
          <w:szCs w:val="24"/>
        </w:rPr>
        <w:t>管理、运营绩效管理、运营分析体系构建、临床专科运营助理实践、内控评价体系建设、运营决策信息一体化平台建设等在内的一系列探索，都将以案例的形式呈现于课程之中，欢迎医疗行业各界人士咨询报名。</w:t>
      </w:r>
    </w:p>
    <w:p w14:paraId="276ABD97" w14:textId="77777777" w:rsidR="002445FF" w:rsidRDefault="00143226">
      <w:pPr>
        <w:pStyle w:val="2"/>
        <w:rPr>
          <w:rFonts w:ascii="微软雅黑" w:eastAsia="微软雅黑" w:hAnsi="微软雅黑"/>
        </w:rPr>
      </w:pPr>
      <w:r>
        <w:rPr>
          <w:rFonts w:ascii="微软雅黑" w:eastAsia="微软雅黑" w:hAnsi="微软雅黑" w:hint="eastAsia"/>
        </w:rPr>
        <w:t>一、培训时间、地点（</w:t>
      </w:r>
      <w:r>
        <w:rPr>
          <w:rFonts w:ascii="微软雅黑" w:eastAsia="微软雅黑" w:hAnsi="微软雅黑" w:hint="eastAsia"/>
          <w:szCs w:val="24"/>
        </w:rPr>
        <w:t>线上同步直播</w:t>
      </w:r>
      <w:r>
        <w:rPr>
          <w:rFonts w:ascii="微软雅黑" w:eastAsia="微软雅黑" w:hAnsi="微软雅黑" w:hint="eastAsia"/>
        </w:rPr>
        <w:t>）</w:t>
      </w:r>
    </w:p>
    <w:p w14:paraId="44F801C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时间：</w:t>
      </w:r>
      <w:r>
        <w:rPr>
          <w:rFonts w:ascii="微软雅黑" w:eastAsia="微软雅黑" w:hAnsi="微软雅黑"/>
          <w:sz w:val="24"/>
          <w:szCs w:val="24"/>
        </w:rPr>
        <w:t>8</w:t>
      </w:r>
      <w:r>
        <w:rPr>
          <w:rFonts w:ascii="微软雅黑" w:eastAsia="微软雅黑" w:hAnsi="微软雅黑" w:hint="eastAsia"/>
          <w:sz w:val="24"/>
          <w:szCs w:val="24"/>
        </w:rPr>
        <w:t>月</w:t>
      </w:r>
      <w:r>
        <w:rPr>
          <w:rFonts w:ascii="微软雅黑" w:eastAsia="微软雅黑" w:hAnsi="微软雅黑"/>
          <w:sz w:val="24"/>
          <w:szCs w:val="24"/>
        </w:rPr>
        <w:t>18</w:t>
      </w:r>
      <w:r>
        <w:rPr>
          <w:rFonts w:ascii="微软雅黑" w:eastAsia="微软雅黑" w:hAnsi="微软雅黑" w:hint="eastAsia"/>
          <w:sz w:val="24"/>
          <w:szCs w:val="24"/>
        </w:rPr>
        <w:t>日——</w:t>
      </w:r>
      <w:r>
        <w:rPr>
          <w:rFonts w:ascii="微软雅黑" w:eastAsia="微软雅黑" w:hAnsi="微软雅黑"/>
          <w:sz w:val="24"/>
          <w:szCs w:val="24"/>
        </w:rPr>
        <w:t>8</w:t>
      </w:r>
      <w:r>
        <w:rPr>
          <w:rFonts w:ascii="微软雅黑" w:eastAsia="微软雅黑" w:hAnsi="微软雅黑" w:hint="eastAsia"/>
          <w:sz w:val="24"/>
          <w:szCs w:val="24"/>
        </w:rPr>
        <w:t>月</w:t>
      </w:r>
      <w:r>
        <w:rPr>
          <w:rFonts w:ascii="微软雅黑" w:eastAsia="微软雅黑" w:hAnsi="微软雅黑"/>
          <w:sz w:val="24"/>
          <w:szCs w:val="24"/>
        </w:rPr>
        <w:t>20</w:t>
      </w:r>
      <w:r>
        <w:rPr>
          <w:rFonts w:ascii="微软雅黑" w:eastAsia="微软雅黑" w:hAnsi="微软雅黑" w:hint="eastAsia"/>
          <w:sz w:val="24"/>
          <w:szCs w:val="24"/>
        </w:rPr>
        <w:t>日（</w:t>
      </w:r>
      <w:r>
        <w:rPr>
          <w:rFonts w:ascii="微软雅黑" w:eastAsia="微软雅黑" w:hAnsi="微软雅黑"/>
          <w:sz w:val="24"/>
          <w:szCs w:val="24"/>
        </w:rPr>
        <w:t>17</w:t>
      </w:r>
      <w:r>
        <w:rPr>
          <w:rFonts w:ascii="微软雅黑" w:eastAsia="微软雅黑" w:hAnsi="微软雅黑" w:hint="eastAsia"/>
          <w:sz w:val="24"/>
          <w:szCs w:val="24"/>
        </w:rPr>
        <w:t>日全天报到，</w:t>
      </w:r>
      <w:r>
        <w:rPr>
          <w:rFonts w:ascii="微软雅黑" w:eastAsia="微软雅黑" w:hAnsi="微软雅黑"/>
          <w:sz w:val="24"/>
          <w:szCs w:val="24"/>
        </w:rPr>
        <w:t>21</w:t>
      </w:r>
      <w:r>
        <w:rPr>
          <w:rFonts w:ascii="微软雅黑" w:eastAsia="微软雅黑" w:hAnsi="微软雅黑" w:hint="eastAsia"/>
          <w:sz w:val="24"/>
          <w:szCs w:val="24"/>
        </w:rPr>
        <w:t>日离校）</w:t>
      </w:r>
    </w:p>
    <w:p w14:paraId="79680FEB" w14:textId="77777777" w:rsidR="002445FF" w:rsidRDefault="00A522A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上课</w:t>
      </w:r>
      <w:r w:rsidR="00143226">
        <w:rPr>
          <w:rFonts w:ascii="微软雅黑" w:eastAsia="微软雅黑" w:hAnsi="微软雅黑" w:hint="eastAsia"/>
          <w:sz w:val="24"/>
          <w:szCs w:val="24"/>
        </w:rPr>
        <w:t>地点：上海国家会计学院</w:t>
      </w:r>
      <w:r>
        <w:rPr>
          <w:rFonts w:ascii="微软雅黑" w:eastAsia="微软雅黑" w:hAnsi="微软雅黑" w:hint="eastAsia"/>
          <w:sz w:val="24"/>
          <w:szCs w:val="24"/>
        </w:rPr>
        <w:t>（上海市青浦区</w:t>
      </w:r>
      <w:proofErr w:type="gramStart"/>
      <w:r>
        <w:rPr>
          <w:rFonts w:ascii="微软雅黑" w:eastAsia="微软雅黑" w:hAnsi="微软雅黑" w:hint="eastAsia"/>
          <w:sz w:val="24"/>
          <w:szCs w:val="24"/>
        </w:rPr>
        <w:t>蟠龙路</w:t>
      </w:r>
      <w:proofErr w:type="gramEnd"/>
      <w:r>
        <w:rPr>
          <w:rFonts w:ascii="微软雅黑" w:eastAsia="微软雅黑" w:hAnsi="微软雅黑" w:hint="eastAsia"/>
          <w:sz w:val="24"/>
          <w:szCs w:val="24"/>
        </w:rPr>
        <w:t>2</w:t>
      </w:r>
      <w:r>
        <w:rPr>
          <w:rFonts w:ascii="微软雅黑" w:eastAsia="微软雅黑" w:hAnsi="微软雅黑"/>
          <w:sz w:val="24"/>
          <w:szCs w:val="24"/>
        </w:rPr>
        <w:t>00</w:t>
      </w:r>
      <w:r>
        <w:rPr>
          <w:rFonts w:ascii="微软雅黑" w:eastAsia="微软雅黑" w:hAnsi="微软雅黑" w:hint="eastAsia"/>
          <w:sz w:val="24"/>
          <w:szCs w:val="24"/>
        </w:rPr>
        <w:t>号）</w:t>
      </w:r>
    </w:p>
    <w:p w14:paraId="28379D2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现场教学</w:t>
      </w:r>
      <w:r w:rsidR="00A522A6">
        <w:rPr>
          <w:rFonts w:ascii="微软雅黑" w:eastAsia="微软雅黑" w:hAnsi="微软雅黑" w:hint="eastAsia"/>
          <w:sz w:val="24"/>
          <w:szCs w:val="24"/>
        </w:rPr>
        <w:t>地点</w:t>
      </w:r>
      <w:r>
        <w:rPr>
          <w:rFonts w:ascii="微软雅黑" w:eastAsia="微软雅黑" w:hAnsi="微软雅黑" w:hint="eastAsia"/>
          <w:sz w:val="24"/>
          <w:szCs w:val="24"/>
        </w:rPr>
        <w:t>：新华医院</w:t>
      </w:r>
      <w:r w:rsidR="00A522A6">
        <w:rPr>
          <w:rFonts w:ascii="微软雅黑" w:eastAsia="微软雅黑" w:hAnsi="微软雅黑" w:hint="eastAsia"/>
          <w:sz w:val="24"/>
          <w:szCs w:val="24"/>
        </w:rPr>
        <w:t>（上海市杨浦区控江路1</w:t>
      </w:r>
      <w:r w:rsidR="00A522A6">
        <w:rPr>
          <w:rFonts w:ascii="微软雅黑" w:eastAsia="微软雅黑" w:hAnsi="微软雅黑"/>
          <w:sz w:val="24"/>
          <w:szCs w:val="24"/>
        </w:rPr>
        <w:t>665</w:t>
      </w:r>
      <w:r w:rsidR="00A522A6">
        <w:rPr>
          <w:rFonts w:ascii="微软雅黑" w:eastAsia="微软雅黑" w:hAnsi="微软雅黑" w:hint="eastAsia"/>
          <w:sz w:val="24"/>
          <w:szCs w:val="24"/>
        </w:rPr>
        <w:t>号），将根据学员人数分批组织</w:t>
      </w:r>
      <w:r w:rsidR="004F2B55">
        <w:rPr>
          <w:rFonts w:ascii="微软雅黑" w:eastAsia="微软雅黑" w:hAnsi="微软雅黑" w:hint="eastAsia"/>
          <w:sz w:val="24"/>
          <w:szCs w:val="24"/>
        </w:rPr>
        <w:t>进入新华医院现场教学。</w:t>
      </w:r>
    </w:p>
    <w:p w14:paraId="78951238" w14:textId="77777777" w:rsidR="00A522A6" w:rsidRDefault="00A522A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特别说明：鉴于大多数学员参加线下学习的意愿，考虑到近期上海疫情，现将原定于7月2</w:t>
      </w:r>
      <w:r>
        <w:rPr>
          <w:rFonts w:ascii="微软雅黑" w:eastAsia="微软雅黑" w:hAnsi="微软雅黑"/>
          <w:sz w:val="24"/>
          <w:szCs w:val="24"/>
        </w:rPr>
        <w:t>8</w:t>
      </w:r>
      <w:r>
        <w:rPr>
          <w:rFonts w:ascii="微软雅黑" w:eastAsia="微软雅黑" w:hAnsi="微软雅黑" w:hint="eastAsia"/>
          <w:sz w:val="24"/>
          <w:szCs w:val="24"/>
        </w:rPr>
        <w:t>日举办的</w:t>
      </w:r>
      <w:r w:rsidR="004F2B55">
        <w:rPr>
          <w:rFonts w:ascii="微软雅黑" w:eastAsia="微软雅黑" w:hAnsi="微软雅黑" w:hint="eastAsia"/>
          <w:sz w:val="24"/>
          <w:szCs w:val="24"/>
        </w:rPr>
        <w:t>本次</w:t>
      </w:r>
      <w:r>
        <w:rPr>
          <w:rFonts w:ascii="微软雅黑" w:eastAsia="微软雅黑" w:hAnsi="微软雅黑" w:hint="eastAsia"/>
          <w:sz w:val="24"/>
          <w:szCs w:val="24"/>
        </w:rPr>
        <w:t>培训</w:t>
      </w:r>
      <w:r w:rsidR="004F2B55">
        <w:rPr>
          <w:rFonts w:ascii="微软雅黑" w:eastAsia="微软雅黑" w:hAnsi="微软雅黑" w:hint="eastAsia"/>
          <w:sz w:val="24"/>
          <w:szCs w:val="24"/>
        </w:rPr>
        <w:t>延期</w:t>
      </w:r>
      <w:r>
        <w:rPr>
          <w:rFonts w:ascii="微软雅黑" w:eastAsia="微软雅黑" w:hAnsi="微软雅黑" w:hint="eastAsia"/>
          <w:sz w:val="24"/>
          <w:szCs w:val="24"/>
        </w:rPr>
        <w:t>到8月1</w:t>
      </w:r>
      <w:r>
        <w:rPr>
          <w:rFonts w:ascii="微软雅黑" w:eastAsia="微软雅黑" w:hAnsi="微软雅黑"/>
          <w:sz w:val="24"/>
          <w:szCs w:val="24"/>
        </w:rPr>
        <w:t>8</w:t>
      </w:r>
      <w:r>
        <w:rPr>
          <w:rFonts w:ascii="微软雅黑" w:eastAsia="微软雅黑" w:hAnsi="微软雅黑" w:hint="eastAsia"/>
          <w:sz w:val="24"/>
          <w:szCs w:val="24"/>
        </w:rPr>
        <w:t>日举办。</w:t>
      </w:r>
    </w:p>
    <w:p w14:paraId="09E8F6DE" w14:textId="77777777" w:rsidR="002445FF" w:rsidRDefault="00143226">
      <w:pPr>
        <w:pStyle w:val="2"/>
        <w:rPr>
          <w:rFonts w:ascii="微软雅黑" w:eastAsia="微软雅黑" w:hAnsi="微软雅黑"/>
        </w:rPr>
      </w:pPr>
      <w:r>
        <w:rPr>
          <w:rFonts w:ascii="微软雅黑" w:eastAsia="微软雅黑" w:hAnsi="微软雅黑" w:hint="eastAsia"/>
        </w:rPr>
        <w:t>二、培训对象</w:t>
      </w:r>
    </w:p>
    <w:p w14:paraId="49535453" w14:textId="77777777" w:rsidR="002445FF" w:rsidRDefault="00143226">
      <w:pPr>
        <w:spacing w:line="440" w:lineRule="exact"/>
        <w:ind w:firstLineChars="200" w:firstLine="480"/>
        <w:jc w:val="left"/>
        <w:rPr>
          <w:rFonts w:ascii="微软雅黑" w:eastAsia="微软雅黑" w:hAnsi="微软雅黑" w:cs="Calibri"/>
          <w:sz w:val="24"/>
          <w:szCs w:val="24"/>
        </w:rPr>
      </w:pPr>
      <w:r>
        <w:rPr>
          <w:rFonts w:ascii="微软雅黑" w:eastAsia="微软雅黑" w:hAnsi="微软雅黑" w:hint="eastAsia"/>
          <w:sz w:val="24"/>
          <w:szCs w:val="24"/>
        </w:rPr>
        <w:t>1、各省、市卫健委（局）主管财会、审计的负责人或业务骨干；</w:t>
      </w:r>
      <w:r>
        <w:rPr>
          <w:rFonts w:ascii="微软雅黑" w:eastAsia="微软雅黑" w:hAnsi="微软雅黑" w:cs="Calibri"/>
          <w:sz w:val="24"/>
          <w:szCs w:val="24"/>
        </w:rPr>
        <w:t>  </w:t>
      </w:r>
    </w:p>
    <w:p w14:paraId="1CD6DE67" w14:textId="77777777" w:rsidR="002445FF" w:rsidRDefault="00143226">
      <w:pPr>
        <w:spacing w:line="440" w:lineRule="exact"/>
        <w:ind w:firstLineChars="200" w:firstLine="480"/>
        <w:jc w:val="left"/>
        <w:rPr>
          <w:rFonts w:ascii="微软雅黑" w:eastAsia="微软雅黑" w:hAnsi="微软雅黑" w:cs="Calibri"/>
          <w:sz w:val="24"/>
          <w:szCs w:val="24"/>
        </w:rPr>
      </w:pPr>
      <w:r>
        <w:rPr>
          <w:rFonts w:ascii="微软雅黑" w:eastAsia="微软雅黑" w:hAnsi="微软雅黑" w:hint="eastAsia"/>
          <w:sz w:val="24"/>
          <w:szCs w:val="24"/>
        </w:rPr>
        <w:t>2、全国各医院书记、院长、分管财务副院长、总会计师、总审计师；</w:t>
      </w:r>
      <w:r>
        <w:rPr>
          <w:rFonts w:ascii="微软雅黑" w:eastAsia="微软雅黑" w:hAnsi="微软雅黑" w:cs="Calibri"/>
          <w:sz w:val="24"/>
          <w:szCs w:val="24"/>
        </w:rPr>
        <w:t>  </w:t>
      </w:r>
    </w:p>
    <w:p w14:paraId="7A1EDE9F" w14:textId="77777777" w:rsidR="002445FF" w:rsidRDefault="00143226">
      <w:pPr>
        <w:spacing w:line="440" w:lineRule="exact"/>
        <w:ind w:firstLineChars="200" w:firstLine="480"/>
        <w:jc w:val="left"/>
        <w:rPr>
          <w:rFonts w:ascii="微软雅黑" w:eastAsia="微软雅黑" w:hAnsi="微软雅黑" w:cs="Calibri"/>
          <w:sz w:val="24"/>
          <w:szCs w:val="24"/>
        </w:rPr>
      </w:pPr>
      <w:r>
        <w:rPr>
          <w:rFonts w:ascii="微软雅黑" w:eastAsia="微软雅黑" w:hAnsi="微软雅黑" w:hint="eastAsia"/>
          <w:sz w:val="24"/>
          <w:szCs w:val="24"/>
        </w:rPr>
        <w:t>3、全国各医院财务、审计、收费、经管办、成本核算科、医务科、运营部、信息部、后勤保障等职能部门负责人与骨干；</w:t>
      </w:r>
      <w:r>
        <w:rPr>
          <w:rFonts w:ascii="微软雅黑" w:eastAsia="微软雅黑" w:hAnsi="微软雅黑" w:cs="Calibri"/>
          <w:sz w:val="24"/>
          <w:szCs w:val="24"/>
        </w:rPr>
        <w:t> </w:t>
      </w:r>
    </w:p>
    <w:p w14:paraId="0D4F655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4、医学类高校财务、会计专业骨干师资，及中介咨询机构相关人员。</w:t>
      </w:r>
    </w:p>
    <w:p w14:paraId="39F04DF8" w14:textId="77777777" w:rsidR="002445FF" w:rsidRDefault="00143226">
      <w:pPr>
        <w:pStyle w:val="2"/>
        <w:rPr>
          <w:rFonts w:ascii="微软雅黑" w:eastAsia="微软雅黑" w:hAnsi="微软雅黑"/>
        </w:rPr>
      </w:pPr>
      <w:r>
        <w:rPr>
          <w:rFonts w:ascii="微软雅黑" w:eastAsia="微软雅黑" w:hAnsi="微软雅黑" w:hint="eastAsia"/>
        </w:rPr>
        <w:t>三、师资力量</w:t>
      </w:r>
    </w:p>
    <w:p w14:paraId="52EBEAE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程明：新华医院副院长，正高级会计师</w:t>
      </w:r>
      <w:r>
        <w:rPr>
          <w:rFonts w:ascii="微软雅黑" w:eastAsia="微软雅黑" w:hAnsi="微软雅黑" w:hint="eastAsia"/>
          <w:sz w:val="24"/>
          <w:szCs w:val="24"/>
        </w:rPr>
        <w:t>，上海国家会计学院硕士生导师，</w:t>
      </w:r>
      <w:r w:rsidR="00A522A6" w:rsidRPr="00A522A6">
        <w:rPr>
          <w:rFonts w:ascii="微软雅黑" w:eastAsia="微软雅黑" w:hAnsi="微软雅黑" w:hint="eastAsia"/>
          <w:sz w:val="24"/>
          <w:szCs w:val="24"/>
        </w:rPr>
        <w:t>上海市卫生经济学会副会长、上海市卫生系统后勤管理协会副理事长、上海市会计学会常务理事、《新会计》杂志编委</w:t>
      </w:r>
      <w:r>
        <w:rPr>
          <w:rFonts w:ascii="微软雅黑" w:eastAsia="微软雅黑" w:hAnsi="微软雅黑" w:hint="eastAsia"/>
          <w:sz w:val="24"/>
          <w:szCs w:val="24"/>
        </w:rPr>
        <w:t>。</w:t>
      </w:r>
    </w:p>
    <w:p w14:paraId="3F9E6DA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刘雅娟：上海申康医院发展中心委派新华医院总会计师，正高级会计师，</w:t>
      </w:r>
      <w:r>
        <w:rPr>
          <w:rFonts w:ascii="微软雅黑" w:eastAsia="微软雅黑" w:hAnsi="微软雅黑" w:hint="eastAsia"/>
          <w:sz w:val="24"/>
          <w:szCs w:val="24"/>
        </w:rPr>
        <w:t>财政部全国高端会计人才（行政事业类），上海国家会计学院“医院运营管理研究中心”研究员，硕士生兼职导师，中国卫生经济学</w:t>
      </w:r>
      <w:proofErr w:type="gramStart"/>
      <w:r>
        <w:rPr>
          <w:rFonts w:ascii="微软雅黑" w:eastAsia="微软雅黑" w:hAnsi="微软雅黑" w:hint="eastAsia"/>
          <w:sz w:val="24"/>
          <w:szCs w:val="24"/>
        </w:rPr>
        <w:t>会卫生财会分会常务</w:t>
      </w:r>
      <w:proofErr w:type="gramEnd"/>
      <w:r>
        <w:rPr>
          <w:rFonts w:ascii="微软雅黑" w:eastAsia="微软雅黑" w:hAnsi="微软雅黑" w:hint="eastAsia"/>
          <w:sz w:val="24"/>
          <w:szCs w:val="24"/>
        </w:rPr>
        <w:t>理事、副秘书长。</w:t>
      </w:r>
    </w:p>
    <w:p w14:paraId="3BE1E7E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李颖琦：上海国家会计学院教授，审计系主任，医院运营管理研究中心主任</w:t>
      </w:r>
      <w:r>
        <w:rPr>
          <w:rFonts w:ascii="微软雅黑" w:eastAsia="微软雅黑" w:hAnsi="微软雅黑" w:hint="eastAsia"/>
          <w:sz w:val="24"/>
          <w:szCs w:val="24"/>
        </w:rPr>
        <w:t>，财政部内部控制标准委员会咨询专家，全国会计领军人才（学术类），中国医药会计学会理事。</w:t>
      </w:r>
    </w:p>
    <w:p w14:paraId="6489636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杨少春：新华医院财务部主任，财政部全国高端会计人才</w:t>
      </w:r>
      <w:r>
        <w:rPr>
          <w:rFonts w:ascii="微软雅黑" w:eastAsia="微软雅黑" w:hAnsi="微软雅黑" w:hint="eastAsia"/>
          <w:sz w:val="24"/>
          <w:szCs w:val="24"/>
        </w:rPr>
        <w:t>（行政事业类），国家卫健委“卫生健康行业经济管理领军人才”，高级会计师。担任总会计师协</w:t>
      </w:r>
      <w:r>
        <w:rPr>
          <w:rFonts w:ascii="微软雅黑" w:eastAsia="微软雅黑" w:hAnsi="微软雅黑" w:hint="eastAsia"/>
          <w:sz w:val="24"/>
          <w:szCs w:val="24"/>
        </w:rPr>
        <w:lastRenderedPageBreak/>
        <w:t>会卫生健康</w:t>
      </w:r>
      <w:proofErr w:type="gramStart"/>
      <w:r>
        <w:rPr>
          <w:rFonts w:ascii="微软雅黑" w:eastAsia="微软雅黑" w:hAnsi="微软雅黑" w:hint="eastAsia"/>
          <w:sz w:val="24"/>
          <w:szCs w:val="24"/>
        </w:rPr>
        <w:t>分会常务</w:t>
      </w:r>
      <w:proofErr w:type="gramEnd"/>
      <w:r>
        <w:rPr>
          <w:rFonts w:ascii="微软雅黑" w:eastAsia="微软雅黑" w:hAnsi="微软雅黑" w:hint="eastAsia"/>
          <w:sz w:val="24"/>
          <w:szCs w:val="24"/>
        </w:rPr>
        <w:t>理事,上海市卫生经济学会常务理事，兼任上海国家会计学院硕士研究生导师。</w:t>
      </w:r>
    </w:p>
    <w:p w14:paraId="05B736E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邵红：新华医院运营绩效部主任、合</w:t>
      </w:r>
      <w:proofErr w:type="gramStart"/>
      <w:r>
        <w:rPr>
          <w:rFonts w:ascii="微软雅黑" w:eastAsia="微软雅黑" w:hAnsi="微软雅黑" w:hint="eastAsia"/>
          <w:b/>
          <w:bCs/>
          <w:sz w:val="24"/>
          <w:szCs w:val="24"/>
        </w:rPr>
        <w:t>规</w:t>
      </w:r>
      <w:proofErr w:type="gramEnd"/>
      <w:r>
        <w:rPr>
          <w:rFonts w:ascii="微软雅黑" w:eastAsia="微软雅黑" w:hAnsi="微软雅黑" w:hint="eastAsia"/>
          <w:b/>
          <w:bCs/>
          <w:sz w:val="24"/>
          <w:szCs w:val="24"/>
        </w:rPr>
        <w:t>部主任，经济师</w:t>
      </w:r>
      <w:r>
        <w:rPr>
          <w:rFonts w:ascii="微软雅黑" w:eastAsia="微软雅黑" w:hAnsi="微软雅黑" w:hint="eastAsia"/>
          <w:sz w:val="24"/>
          <w:szCs w:val="24"/>
        </w:rPr>
        <w:t>。先后担任财务支部书记、门诊总支书记、医院专职纪委副书记、纪监审办公室主任、门急诊部副主任、便民服务中心主任、合</w:t>
      </w:r>
      <w:proofErr w:type="gramStart"/>
      <w:r>
        <w:rPr>
          <w:rFonts w:ascii="微软雅黑" w:eastAsia="微软雅黑" w:hAnsi="微软雅黑" w:hint="eastAsia"/>
          <w:sz w:val="24"/>
          <w:szCs w:val="24"/>
        </w:rPr>
        <w:t>规</w:t>
      </w:r>
      <w:proofErr w:type="gramEnd"/>
      <w:r>
        <w:rPr>
          <w:rFonts w:ascii="微软雅黑" w:eastAsia="微软雅黑" w:hAnsi="微软雅黑" w:hint="eastAsia"/>
          <w:sz w:val="24"/>
          <w:szCs w:val="24"/>
        </w:rPr>
        <w:t>部主任等职务，兼职担任上海市法学</w:t>
      </w:r>
      <w:proofErr w:type="gramStart"/>
      <w:r>
        <w:rPr>
          <w:rFonts w:ascii="微软雅黑" w:eastAsia="微软雅黑" w:hAnsi="微软雅黑" w:hint="eastAsia"/>
          <w:sz w:val="24"/>
          <w:szCs w:val="24"/>
        </w:rPr>
        <w:t>会卫生</w:t>
      </w:r>
      <w:proofErr w:type="gramEnd"/>
      <w:r>
        <w:rPr>
          <w:rFonts w:ascii="微软雅黑" w:eastAsia="微软雅黑" w:hAnsi="微软雅黑" w:hint="eastAsia"/>
          <w:sz w:val="24"/>
          <w:szCs w:val="24"/>
        </w:rPr>
        <w:t>法学研究会理事,上海市医院协会第二届绩效管理专业委员会副主任委员。</w:t>
      </w:r>
    </w:p>
    <w:p w14:paraId="60C1A5D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宋雄：高级会计师，新华医院财务部财务管理办公室负责人</w:t>
      </w:r>
      <w:r>
        <w:rPr>
          <w:rFonts w:ascii="微软雅黑" w:eastAsia="微软雅黑" w:hAnsi="微软雅黑" w:hint="eastAsia"/>
          <w:sz w:val="24"/>
          <w:szCs w:val="24"/>
        </w:rPr>
        <w:t>。国家卫健委“卫生健康行业经济管理后备领军人才”、上海市优秀会计人才，硕士生导师。长期从事医院财务管理理论与财务业务信息化实践工作。</w:t>
      </w:r>
    </w:p>
    <w:p w14:paraId="0003065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b/>
          <w:bCs/>
          <w:sz w:val="24"/>
          <w:szCs w:val="24"/>
        </w:rPr>
        <w:t>陈冲：</w:t>
      </w:r>
      <w:proofErr w:type="gramStart"/>
      <w:r>
        <w:rPr>
          <w:rFonts w:ascii="微软雅黑" w:eastAsia="微软雅黑" w:hAnsi="微软雅黑" w:hint="eastAsia"/>
          <w:b/>
          <w:bCs/>
          <w:sz w:val="24"/>
          <w:szCs w:val="24"/>
        </w:rPr>
        <w:t>熙软公司</w:t>
      </w:r>
      <w:proofErr w:type="gramEnd"/>
      <w:r>
        <w:rPr>
          <w:rFonts w:ascii="微软雅黑" w:eastAsia="微软雅黑" w:hAnsi="微软雅黑" w:hint="eastAsia"/>
          <w:b/>
          <w:bCs/>
          <w:sz w:val="24"/>
          <w:szCs w:val="24"/>
        </w:rPr>
        <w:t>创始人兼CEO。</w:t>
      </w:r>
      <w:r>
        <w:rPr>
          <w:rFonts w:ascii="微软雅黑" w:eastAsia="微软雅黑" w:hAnsi="微软雅黑" w:hint="eastAsia"/>
          <w:sz w:val="24"/>
          <w:szCs w:val="24"/>
        </w:rPr>
        <w:t>中国医院协会经济专业委员会委员，中国卫生经济学</w:t>
      </w:r>
      <w:proofErr w:type="gramStart"/>
      <w:r>
        <w:rPr>
          <w:rFonts w:ascii="微软雅黑" w:eastAsia="微软雅黑" w:hAnsi="微软雅黑" w:hint="eastAsia"/>
          <w:sz w:val="24"/>
          <w:szCs w:val="24"/>
        </w:rPr>
        <w:t>会卫生</w:t>
      </w:r>
      <w:proofErr w:type="gramEnd"/>
      <w:r>
        <w:rPr>
          <w:rFonts w:ascii="微软雅黑" w:eastAsia="微软雅黑" w:hAnsi="微软雅黑" w:hint="eastAsia"/>
          <w:sz w:val="24"/>
          <w:szCs w:val="24"/>
        </w:rPr>
        <w:t>财会分会理事，中国总会计师协会卫健</w:t>
      </w:r>
      <w:proofErr w:type="gramStart"/>
      <w:r>
        <w:rPr>
          <w:rFonts w:ascii="微软雅黑" w:eastAsia="微软雅黑" w:hAnsi="微软雅黑" w:hint="eastAsia"/>
          <w:sz w:val="24"/>
          <w:szCs w:val="24"/>
        </w:rPr>
        <w:t>分会常务</w:t>
      </w:r>
      <w:proofErr w:type="gramEnd"/>
      <w:r>
        <w:rPr>
          <w:rFonts w:ascii="微软雅黑" w:eastAsia="微软雅黑" w:hAnsi="微软雅黑" w:hint="eastAsia"/>
          <w:sz w:val="24"/>
          <w:szCs w:val="24"/>
        </w:rPr>
        <w:t>理事。</w:t>
      </w:r>
    </w:p>
    <w:p w14:paraId="0F17E38C" w14:textId="77777777" w:rsidR="002445FF" w:rsidRDefault="00143226">
      <w:pPr>
        <w:pStyle w:val="2"/>
        <w:rPr>
          <w:rFonts w:ascii="微软雅黑" w:eastAsia="微软雅黑" w:hAnsi="微软雅黑"/>
        </w:rPr>
      </w:pPr>
      <w:r>
        <w:rPr>
          <w:rFonts w:ascii="微软雅黑" w:eastAsia="微软雅黑" w:hAnsi="微软雅黑" w:hint="eastAsia"/>
        </w:rPr>
        <w:t>四、课程内容</w:t>
      </w:r>
    </w:p>
    <w:p w14:paraId="22812976"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w:t>
      </w:r>
      <w:proofErr w:type="gramStart"/>
      <w:r>
        <w:rPr>
          <w:rFonts w:ascii="微软雅黑" w:eastAsia="微软雅黑" w:hAnsi="微软雅黑" w:hint="eastAsia"/>
        </w:rPr>
        <w:t>一</w:t>
      </w:r>
      <w:proofErr w:type="gramEnd"/>
      <w:r>
        <w:rPr>
          <w:rFonts w:ascii="微软雅黑" w:eastAsia="微软雅黑" w:hAnsi="微软雅黑" w:hint="eastAsia"/>
        </w:rPr>
        <w:t>：医药卫生体制改革、</w:t>
      </w:r>
      <w:proofErr w:type="gramStart"/>
      <w:r>
        <w:rPr>
          <w:rFonts w:ascii="微软雅黑" w:eastAsia="微软雅黑" w:hAnsi="微软雅黑" w:hint="eastAsia"/>
        </w:rPr>
        <w:t>医</w:t>
      </w:r>
      <w:proofErr w:type="gramEnd"/>
      <w:r>
        <w:rPr>
          <w:rFonts w:ascii="微软雅黑" w:eastAsia="微软雅黑" w:hAnsi="微软雅黑" w:hint="eastAsia"/>
        </w:rPr>
        <w:t>保体制改革路径及其对公立医院运营的影响</w:t>
      </w:r>
    </w:p>
    <w:p w14:paraId="50204CA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1、我国医药卫生体制改革的发展路径</w:t>
      </w:r>
    </w:p>
    <w:p w14:paraId="0228738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（1）医疗资源配置、分级诊疗体系</w:t>
      </w:r>
    </w:p>
    <w:p w14:paraId="64E4B24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（2）提高公共卫生服务水平</w:t>
      </w:r>
    </w:p>
    <w:p w14:paraId="3498E68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（3）降低</w:t>
      </w:r>
      <w:proofErr w:type="gramStart"/>
      <w:r>
        <w:rPr>
          <w:rFonts w:ascii="微软雅黑" w:eastAsia="微软雅黑" w:hAnsi="微软雅黑" w:hint="eastAsia"/>
          <w:sz w:val="24"/>
          <w:szCs w:val="24"/>
        </w:rPr>
        <w:t>药耗占比</w:t>
      </w:r>
      <w:proofErr w:type="gramEnd"/>
      <w:r>
        <w:rPr>
          <w:rFonts w:ascii="微软雅黑" w:eastAsia="微软雅黑" w:hAnsi="微软雅黑" w:hint="eastAsia"/>
          <w:sz w:val="24"/>
          <w:szCs w:val="24"/>
        </w:rPr>
        <w:t>，推动收入结构改革</w:t>
      </w:r>
    </w:p>
    <w:p w14:paraId="68D1910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（4）扩大</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保筹资能力，提高基金使用效率</w:t>
      </w:r>
    </w:p>
    <w:p w14:paraId="4AB4AEC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2、我国医保体制改革的发展路径</w:t>
      </w:r>
    </w:p>
    <w:p w14:paraId="10A1D2D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（1）全民医疗保障体系建设</w:t>
      </w:r>
    </w:p>
    <w:p w14:paraId="2B229E6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保基金的关键内容</w:t>
      </w:r>
    </w:p>
    <w:p w14:paraId="6A23D1D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（3）医疗保障和医药服务高质量协同发展</w:t>
      </w:r>
    </w:p>
    <w:p w14:paraId="7B374CE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w:t>
      </w:r>
      <w:proofErr w:type="gramStart"/>
      <w:r>
        <w:rPr>
          <w:rFonts w:ascii="微软雅黑" w:eastAsia="微软雅黑" w:hAnsi="微软雅黑" w:hint="eastAsia"/>
          <w:sz w:val="24"/>
          <w:szCs w:val="24"/>
        </w:rPr>
        <w:t>医</w:t>
      </w:r>
      <w:proofErr w:type="gramEnd"/>
      <w:r>
        <w:rPr>
          <w:rFonts w:ascii="微软雅黑" w:eastAsia="微软雅黑" w:hAnsi="微软雅黑" w:hint="eastAsia"/>
          <w:sz w:val="24"/>
          <w:szCs w:val="24"/>
        </w:rPr>
        <w:t>保支出风险及应对策略</w:t>
      </w:r>
    </w:p>
    <w:p w14:paraId="138DFB2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3、支付方式改革发展路径</w:t>
      </w:r>
    </w:p>
    <w:p w14:paraId="48E9F5A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（1）推进DRG与DIP的优缺点比较</w:t>
      </w:r>
    </w:p>
    <w:p w14:paraId="52817DE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（2）支付方式对医院运行机制的影响及医院行为变化</w:t>
      </w:r>
    </w:p>
    <w:p w14:paraId="4CC8D5C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（3）支付方式与薪酬制度改革</w:t>
      </w:r>
    </w:p>
    <w:p w14:paraId="4FBDDD4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（4）支付制度的创新与展望</w:t>
      </w:r>
    </w:p>
    <w:p w14:paraId="41DDD5AA"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专题二：以战略目标为导向、以资源配置为核心、以绩效考核为抓手</w:t>
      </w:r>
    </w:p>
    <w:p w14:paraId="765AA66F" w14:textId="77777777" w:rsidR="002445FF" w:rsidRDefault="00143226">
      <w:pPr>
        <w:pStyle w:val="3"/>
        <w:spacing w:line="440" w:lineRule="exact"/>
        <w:ind w:firstLine="480"/>
        <w:jc w:val="right"/>
        <w:rPr>
          <w:rFonts w:ascii="微软雅黑" w:eastAsia="微软雅黑" w:hAnsi="微软雅黑"/>
        </w:rPr>
      </w:pPr>
      <w:r>
        <w:rPr>
          <w:rFonts w:ascii="微软雅黑" w:eastAsia="微软雅黑" w:hAnsi="微软雅黑" w:hint="eastAsia"/>
        </w:rPr>
        <w:t>——新华医院全面预算精细化管理实践</w:t>
      </w:r>
    </w:p>
    <w:p w14:paraId="0EAFDBB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1、医院预算管理的问题</w:t>
      </w:r>
    </w:p>
    <w:p w14:paraId="0B8C20B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lastRenderedPageBreak/>
        <w:t>（1）预算需求“敞口”</w:t>
      </w:r>
    </w:p>
    <w:p w14:paraId="19D0F42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（2）业务部门“缺位”</w:t>
      </w:r>
    </w:p>
    <w:p w14:paraId="0032B7C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（3）责任边界“模糊”</w:t>
      </w:r>
    </w:p>
    <w:p w14:paraId="34C06D8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2、实施预算顶层设计、系统推进预算管理</w:t>
      </w:r>
    </w:p>
    <w:p w14:paraId="5536F55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（1）6S全方位管理体系</w:t>
      </w:r>
    </w:p>
    <w:p w14:paraId="386FDBC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（2）四位一体全流程管理体系</w:t>
      </w:r>
    </w:p>
    <w:p w14:paraId="364F702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（3）全员参与三级预算管理模式</w:t>
      </w:r>
    </w:p>
    <w:p w14:paraId="208F7D7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3、紧扣资源配置核心，增强预算管控能力</w:t>
      </w:r>
    </w:p>
    <w:p w14:paraId="3BCCEF2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（1）三类预算：业务类、收支类、资源类</w:t>
      </w:r>
    </w:p>
    <w:p w14:paraId="3FFFC2D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（2）归口管理：“让专业的人做专业的事”</w:t>
      </w:r>
    </w:p>
    <w:p w14:paraId="51E1E4B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（3）重大投入项目“项目库”</w:t>
      </w:r>
    </w:p>
    <w:p w14:paraId="620FB53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（4）预算管理的逻辑</w:t>
      </w:r>
    </w:p>
    <w:p w14:paraId="0FA8DBE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4、预算过程控制与目标落实</w:t>
      </w:r>
    </w:p>
    <w:p w14:paraId="5C09C2C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（1）H</w:t>
      </w:r>
      <w:r>
        <w:rPr>
          <w:rFonts w:ascii="微软雅黑" w:eastAsia="微软雅黑" w:hAnsi="微软雅黑"/>
          <w:sz w:val="24"/>
          <w:szCs w:val="24"/>
        </w:rPr>
        <w:t>RP一体化</w:t>
      </w:r>
      <w:r>
        <w:rPr>
          <w:rFonts w:ascii="微软雅黑" w:eastAsia="微软雅黑" w:hAnsi="微软雅黑" w:hint="eastAsia"/>
          <w:sz w:val="24"/>
          <w:szCs w:val="24"/>
        </w:rPr>
        <w:t>人财物管理平台</w:t>
      </w:r>
    </w:p>
    <w:p w14:paraId="7D812DA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（2）预算、核算、决算一体化转记账模式</w:t>
      </w:r>
    </w:p>
    <w:p w14:paraId="5FC1E4D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（3）多维度预算使用情况适时反馈</w:t>
      </w:r>
    </w:p>
    <w:p w14:paraId="2C75FA4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5、预算考核力度与管理长效机制</w:t>
      </w:r>
    </w:p>
    <w:p w14:paraId="450F69A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（1）临床、医技等业务科室预算考核</w:t>
      </w:r>
    </w:p>
    <w:p w14:paraId="7B543EA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（2）归口管理部门预算考核、行政管理部门预算考核</w:t>
      </w:r>
    </w:p>
    <w:p w14:paraId="69F43521"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专题三：战略成本视角下的新华医院成本管理策略</w:t>
      </w:r>
    </w:p>
    <w:p w14:paraId="58A7101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、公立医院综合改革背景简介：补偿渠道改革、支付方式改革与运营机制变化</w:t>
      </w:r>
    </w:p>
    <w:p w14:paraId="1C226D0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、传统成本管理的特点与典型表现</w:t>
      </w:r>
    </w:p>
    <w:p w14:paraId="6FBC568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、价值链与战略成本管理简介</w:t>
      </w:r>
    </w:p>
    <w:p w14:paraId="274FE4A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（1）战略成本管理与价值链</w:t>
      </w:r>
    </w:p>
    <w:p w14:paraId="3F04180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（2）价值链的内涵、管理视角与典型表现</w:t>
      </w:r>
    </w:p>
    <w:p w14:paraId="1B1A052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（3）医疗服务价值链（基本价值链与患者价值链）</w:t>
      </w:r>
    </w:p>
    <w:p w14:paraId="50448FB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、管理策略与实践</w:t>
      </w:r>
    </w:p>
    <w:p w14:paraId="714B5F6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（1）门诊诊疗流程优化案例解析</w:t>
      </w:r>
    </w:p>
    <w:p w14:paraId="739834D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（2）基于D</w:t>
      </w:r>
      <w:r>
        <w:rPr>
          <w:rFonts w:ascii="微软雅黑" w:eastAsia="微软雅黑" w:hAnsi="微软雅黑"/>
          <w:sz w:val="24"/>
          <w:szCs w:val="24"/>
        </w:rPr>
        <w:t>RG</w:t>
      </w:r>
      <w:r>
        <w:rPr>
          <w:rFonts w:ascii="微软雅黑" w:eastAsia="微软雅黑" w:hAnsi="微软雅黑" w:hint="eastAsia"/>
          <w:sz w:val="24"/>
          <w:szCs w:val="24"/>
        </w:rPr>
        <w:t>的病种成本管理案例解析</w:t>
      </w:r>
    </w:p>
    <w:p w14:paraId="31309D3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（3）成本单元评估模型的案例解析</w:t>
      </w:r>
    </w:p>
    <w:p w14:paraId="310AF60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lastRenderedPageBreak/>
        <w:t>5</w:t>
      </w:r>
      <w:r>
        <w:rPr>
          <w:rFonts w:ascii="微软雅黑" w:eastAsia="微软雅黑" w:hAnsi="微软雅黑"/>
          <w:sz w:val="24"/>
          <w:szCs w:val="24"/>
        </w:rPr>
        <w:t>.</w:t>
      </w:r>
      <w:r>
        <w:rPr>
          <w:rFonts w:ascii="微软雅黑" w:eastAsia="微软雅黑" w:hAnsi="微软雅黑" w:hint="eastAsia"/>
          <w:sz w:val="24"/>
          <w:szCs w:val="24"/>
        </w:rPr>
        <w:t>思考与未来展望</w:t>
      </w:r>
    </w:p>
    <w:p w14:paraId="0C8C6DB7"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专题四：从</w:t>
      </w:r>
      <w:proofErr w:type="gramStart"/>
      <w:r>
        <w:rPr>
          <w:rFonts w:ascii="微软雅黑" w:eastAsia="微软雅黑" w:hAnsi="微软雅黑" w:hint="eastAsia"/>
        </w:rPr>
        <w:t>绩效国</w:t>
      </w:r>
      <w:proofErr w:type="gramEnd"/>
      <w:r>
        <w:rPr>
          <w:rFonts w:ascii="微软雅黑" w:eastAsia="微软雅黑" w:hAnsi="微软雅黑" w:hint="eastAsia"/>
        </w:rPr>
        <w:t>考到高质量发展——新华医院运营绩效管理实践</w:t>
      </w:r>
    </w:p>
    <w:p w14:paraId="0259C7CC"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1、公立医院运营管理发展现状</w:t>
      </w:r>
    </w:p>
    <w:p w14:paraId="4952871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、精益考核管理体系实践</w:t>
      </w:r>
    </w:p>
    <w:p w14:paraId="7E148C9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（1）新华医院运营管理发展路径</w:t>
      </w:r>
    </w:p>
    <w:p w14:paraId="75625F8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（2）绩效考核体系的核心要求与优化原则</w:t>
      </w:r>
    </w:p>
    <w:p w14:paraId="59F7ED2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（3）现有考核体系诊断</w:t>
      </w:r>
    </w:p>
    <w:p w14:paraId="1751B7A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（4）周期性运营分析与监测</w:t>
      </w:r>
    </w:p>
    <w:p w14:paraId="35003EC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3、医疗绩效薪酬制度改革实践</w:t>
      </w:r>
    </w:p>
    <w:p w14:paraId="6574B3A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（1）核心要求与优化原则</w:t>
      </w:r>
    </w:p>
    <w:p w14:paraId="491CEE53"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（2）现有绩效分配制度诊断</w:t>
      </w:r>
    </w:p>
    <w:p w14:paraId="75EFCC2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（3）绩效分配模式转变与测算</w:t>
      </w:r>
    </w:p>
    <w:p w14:paraId="0B76EFF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医技服务价值评价体系与绩效优化</w:t>
      </w:r>
      <w:r>
        <w:rPr>
          <w:rFonts w:ascii="微软雅黑" w:eastAsia="微软雅黑" w:hAnsi="微软雅黑" w:hint="eastAsia"/>
          <w:sz w:val="24"/>
          <w:szCs w:val="24"/>
        </w:rPr>
        <w:t>实践</w:t>
      </w:r>
    </w:p>
    <w:p w14:paraId="6CE1D39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医技服务价值评价体系与绩效优化</w:t>
      </w:r>
    </w:p>
    <w:p w14:paraId="2E7F2C6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基于RBRVS搭建医技服务价值评价体系</w:t>
      </w:r>
    </w:p>
    <w:p w14:paraId="5FD788F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增量改革</w:t>
      </w:r>
      <w:r>
        <w:rPr>
          <w:rFonts w:ascii="微软雅黑" w:eastAsia="微软雅黑" w:hAnsi="微软雅黑" w:hint="eastAsia"/>
          <w:sz w:val="24"/>
          <w:szCs w:val="24"/>
        </w:rPr>
        <w:t>测算与</w:t>
      </w:r>
      <w:r>
        <w:rPr>
          <w:rFonts w:ascii="微软雅黑" w:eastAsia="微软雅黑" w:hAnsi="微软雅黑"/>
          <w:sz w:val="24"/>
          <w:szCs w:val="24"/>
        </w:rPr>
        <w:t>落地</w:t>
      </w:r>
    </w:p>
    <w:p w14:paraId="6AAF51BC"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5、</w:t>
      </w:r>
      <w:r>
        <w:rPr>
          <w:rFonts w:ascii="微软雅黑" w:eastAsia="微软雅黑" w:hAnsi="微软雅黑"/>
          <w:sz w:val="24"/>
          <w:szCs w:val="24"/>
        </w:rPr>
        <w:t>科主任精益化绩效管理</w:t>
      </w:r>
      <w:r>
        <w:rPr>
          <w:rFonts w:ascii="微软雅黑" w:eastAsia="微软雅黑" w:hAnsi="微软雅黑" w:hint="eastAsia"/>
          <w:sz w:val="24"/>
          <w:szCs w:val="24"/>
        </w:rPr>
        <w:t>实践</w:t>
      </w:r>
    </w:p>
    <w:p w14:paraId="62DF94D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国内科主任绩效管理痛点与难点</w:t>
      </w:r>
    </w:p>
    <w:p w14:paraId="365E5D3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目标管理为核心的科主任绩效考核</w:t>
      </w:r>
    </w:p>
    <w:p w14:paraId="5D29ED2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职能导向为核心的科主任绩效分配</w:t>
      </w:r>
    </w:p>
    <w:p w14:paraId="2C7BCE88"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专题五：以风险防范为导向的新华医院内部控制体系建设</w:t>
      </w:r>
    </w:p>
    <w:p w14:paraId="24AEF75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《公立医院内部控制管理办法》解读</w:t>
      </w:r>
    </w:p>
    <w:p w14:paraId="6752DC4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医院内控总体建设情况</w:t>
      </w:r>
    </w:p>
    <w:p w14:paraId="70DA7C2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3、新华医院内控建设案例分享</w:t>
      </w:r>
    </w:p>
    <w:p w14:paraId="08DA63A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（1）合同管理</w:t>
      </w:r>
    </w:p>
    <w:p w14:paraId="3D2EA69C"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科研试剂耗材采购管理</w:t>
      </w:r>
    </w:p>
    <w:p w14:paraId="41BA827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专项经费管控</w:t>
      </w:r>
    </w:p>
    <w:p w14:paraId="2B2B05BD"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捐赠管理</w:t>
      </w:r>
    </w:p>
    <w:p w14:paraId="2C87F196"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专题六：公立医院精益运营管理体系及经济运行分析体系构建</w:t>
      </w:r>
    </w:p>
    <w:p w14:paraId="764BDDB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1、公立医院运营管理的背景和特点</w:t>
      </w:r>
    </w:p>
    <w:p w14:paraId="578651C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（1）运营管理的性质与目标</w:t>
      </w:r>
    </w:p>
    <w:p w14:paraId="56FB5F0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lastRenderedPageBreak/>
        <w:t>（2）内外部管理条线与特征</w:t>
      </w:r>
    </w:p>
    <w:p w14:paraId="0478C04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（3）收支政策与业务结构的关系</w:t>
      </w:r>
    </w:p>
    <w:p w14:paraId="2774EA2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（4）科室独立运营和医院统筹管理的协调</w:t>
      </w:r>
    </w:p>
    <w:p w14:paraId="4B48119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2、公立医院精益运营管理的目标要求</w:t>
      </w:r>
    </w:p>
    <w:p w14:paraId="26D7C0D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（1）经济运营管理转型发展的目标：战略制定、价值创造</w:t>
      </w:r>
    </w:p>
    <w:p w14:paraId="3E0EFDE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（2）“算小账”、“算大帐”：实现政府、医院与患者的“多赢”</w:t>
      </w:r>
    </w:p>
    <w:p w14:paraId="602E9CE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（3）医院与</w:t>
      </w:r>
      <w:proofErr w:type="gramStart"/>
      <w:r>
        <w:rPr>
          <w:rFonts w:ascii="微软雅黑" w:eastAsia="微软雅黑" w:hAnsi="微软雅黑" w:hint="eastAsia"/>
          <w:sz w:val="24"/>
          <w:szCs w:val="24"/>
        </w:rPr>
        <w:t>医改矛盾</w:t>
      </w:r>
      <w:proofErr w:type="gramEnd"/>
      <w:r>
        <w:rPr>
          <w:rFonts w:ascii="微软雅黑" w:eastAsia="微软雅黑" w:hAnsi="微软雅黑" w:hint="eastAsia"/>
          <w:sz w:val="24"/>
          <w:szCs w:val="24"/>
        </w:rPr>
        <w:t>之间的“破局”</w:t>
      </w:r>
    </w:p>
    <w:p w14:paraId="7745D63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（4）构建合理的经济模型，</w:t>
      </w:r>
      <w:proofErr w:type="gramStart"/>
      <w:r>
        <w:rPr>
          <w:rFonts w:ascii="微软雅黑" w:eastAsia="微软雅黑" w:hAnsi="微软雅黑" w:hint="eastAsia"/>
          <w:sz w:val="24"/>
          <w:szCs w:val="24"/>
        </w:rPr>
        <w:t>医教研间合理</w:t>
      </w:r>
      <w:proofErr w:type="gramEnd"/>
      <w:r>
        <w:rPr>
          <w:rFonts w:ascii="微软雅黑" w:eastAsia="微软雅黑" w:hAnsi="微软雅黑" w:hint="eastAsia"/>
          <w:sz w:val="24"/>
          <w:szCs w:val="24"/>
        </w:rPr>
        <w:t>配置资源</w:t>
      </w:r>
    </w:p>
    <w:p w14:paraId="4D37810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（5）寻找合理的经济运行指标评价导向</w:t>
      </w:r>
    </w:p>
    <w:p w14:paraId="655CBD6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（6）达到成本控制与高品质医疗服务间的平衡</w:t>
      </w:r>
    </w:p>
    <w:p w14:paraId="31DC1C6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3、公立医院精益运营管理体系构建</w:t>
      </w:r>
    </w:p>
    <w:p w14:paraId="643A3D0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（1）医院运营管理模式梳理</w:t>
      </w:r>
    </w:p>
    <w:p w14:paraId="294557A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（2）医院资源梳理与规划</w:t>
      </w:r>
    </w:p>
    <w:p w14:paraId="64401DB2"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（3）医院运营管理核心流程梳理</w:t>
      </w:r>
    </w:p>
    <w:p w14:paraId="0AC01DD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（4）医院运营管理策略制定与实施</w:t>
      </w:r>
    </w:p>
    <w:p w14:paraId="0744A0D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4、公立医院经济运行分析体系构建</w:t>
      </w:r>
    </w:p>
    <w:p w14:paraId="6EDAF74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w:t>
      </w:r>
      <w:proofErr w:type="gramStart"/>
      <w:r>
        <w:rPr>
          <w:rFonts w:ascii="微软雅黑" w:eastAsia="微软雅黑" w:hAnsi="微软雅黑" w:hint="eastAsia"/>
          <w:sz w:val="24"/>
          <w:szCs w:val="24"/>
        </w:rPr>
        <w:t>业财融合</w:t>
      </w:r>
      <w:proofErr w:type="gramEnd"/>
      <w:r>
        <w:rPr>
          <w:rFonts w:ascii="微软雅黑" w:eastAsia="微软雅黑" w:hAnsi="微软雅黑" w:hint="eastAsia"/>
          <w:sz w:val="24"/>
          <w:szCs w:val="24"/>
        </w:rPr>
        <w:t>视角下的经济运行分析体系构建路径</w:t>
      </w:r>
    </w:p>
    <w:p w14:paraId="614D27D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（2）契合“国考”的经济运行分析框架解析</w:t>
      </w:r>
    </w:p>
    <w:p w14:paraId="67FE8D91"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专题七：“共享、协同、智慧”——新华医院信息化系统建设</w:t>
      </w:r>
    </w:p>
    <w:p w14:paraId="2B89D66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1、公立医院运营管理进入数字化和智能化时代：政策和制度对公立医院运营</w:t>
      </w:r>
      <w:proofErr w:type="gramStart"/>
      <w:r>
        <w:rPr>
          <w:rFonts w:ascii="微软雅黑" w:eastAsia="微软雅黑" w:hAnsi="微软雅黑" w:hint="eastAsia"/>
          <w:sz w:val="24"/>
          <w:szCs w:val="24"/>
        </w:rPr>
        <w:t>管理数智化</w:t>
      </w:r>
      <w:proofErr w:type="gramEnd"/>
      <w:r>
        <w:rPr>
          <w:rFonts w:ascii="微软雅黑" w:eastAsia="微软雅黑" w:hAnsi="微软雅黑" w:hint="eastAsia"/>
          <w:sz w:val="24"/>
          <w:szCs w:val="24"/>
        </w:rPr>
        <w:t>的要求、当前医院运营管理信息化普遍存在的问题；</w:t>
      </w:r>
    </w:p>
    <w:p w14:paraId="61F4233C"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2、运营</w:t>
      </w:r>
      <w:proofErr w:type="gramStart"/>
      <w:r>
        <w:rPr>
          <w:rFonts w:ascii="微软雅黑" w:eastAsia="微软雅黑" w:hAnsi="微软雅黑" w:hint="eastAsia"/>
          <w:sz w:val="24"/>
          <w:szCs w:val="24"/>
        </w:rPr>
        <w:t>管理数智化</w:t>
      </w:r>
      <w:proofErr w:type="gramEnd"/>
      <w:r>
        <w:rPr>
          <w:rFonts w:ascii="微软雅黑" w:eastAsia="微软雅黑" w:hAnsi="微软雅黑" w:hint="eastAsia"/>
          <w:sz w:val="24"/>
          <w:szCs w:val="24"/>
        </w:rPr>
        <w:t>体系的构建：业务范畴、新一代信息技术的融合、信息系统功能框架等；</w:t>
      </w:r>
    </w:p>
    <w:p w14:paraId="6DF89680"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3、基于新华医院的探索，公立医院新一代智慧运营管理平台建设实践分享</w:t>
      </w:r>
    </w:p>
    <w:p w14:paraId="74B2A74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（1）基础数据治理</w:t>
      </w:r>
    </w:p>
    <w:p w14:paraId="04C9507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（2）业务流程优化</w:t>
      </w:r>
    </w:p>
    <w:p w14:paraId="3A20220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（3）应用系统建设</w:t>
      </w:r>
    </w:p>
    <w:p w14:paraId="7DC5F646"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专题八：“共建、共管、共治”——新华医院专科运营助理实践与探索</w:t>
      </w:r>
    </w:p>
    <w:p w14:paraId="2E85E12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1、公立医院运营管理背景：市场、监管主体、内部运行机制；</w:t>
      </w:r>
    </w:p>
    <w:p w14:paraId="611C5E07"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、公立医院运营管理特点：收支政策、业务结构、经济运行评价指标；</w:t>
      </w:r>
    </w:p>
    <w:p w14:paraId="185014D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 xml:space="preserve">、新华医院临床专科运营助理管理： </w:t>
      </w:r>
    </w:p>
    <w:p w14:paraId="533CAEA9"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lastRenderedPageBreak/>
        <w:t>（1）着力体系建设，夯实管理基础</w:t>
      </w:r>
    </w:p>
    <w:p w14:paraId="5A055D76"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（2）打破人才界限，打造运营团队</w:t>
      </w:r>
    </w:p>
    <w:p w14:paraId="1ADF706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创新工作机制，形成管理合力</w:t>
      </w:r>
    </w:p>
    <w:p w14:paraId="08E8E96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（4）临床专科运营助理管理抓手</w:t>
      </w:r>
    </w:p>
    <w:p w14:paraId="6A4EEC28"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（5）临床专科运营助理考核评价</w:t>
      </w:r>
    </w:p>
    <w:p w14:paraId="70C6AF4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（6）临床专科运营助理取得的成效</w:t>
      </w:r>
    </w:p>
    <w:p w14:paraId="113EC3C2"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专题九：从后视镜到导航仪---基于新华医院运营助理实践的探讨与交流</w:t>
      </w:r>
    </w:p>
    <w:p w14:paraId="2FE8AD4A"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聆听运营助理心声，交流实际管理经验，解答操作层面困惑。本专题将邀请数位新华医院临床专科运营助理代表，以访谈＋案例介绍的形式，探讨运营助理如何利用医院运营中的“支点”和“撬点”，围绕医院经济运行管理如何实现管理主动权，体现从“后知”到“前瞻”、从“后觉”到“先至”的管理模式转换。</w:t>
      </w:r>
    </w:p>
    <w:p w14:paraId="0C4CB21F" w14:textId="77777777" w:rsidR="002445FF" w:rsidRDefault="00143226">
      <w:pPr>
        <w:pStyle w:val="2"/>
        <w:rPr>
          <w:rFonts w:ascii="微软雅黑" w:eastAsia="微软雅黑" w:hAnsi="微软雅黑"/>
        </w:rPr>
      </w:pPr>
      <w:r>
        <w:rPr>
          <w:rFonts w:ascii="微软雅黑" w:eastAsia="微软雅黑" w:hAnsi="微软雅黑" w:hint="eastAsia"/>
        </w:rPr>
        <w:t xml:space="preserve">五、会务咨询 </w:t>
      </w:r>
    </w:p>
    <w:p w14:paraId="755A189D" w14:textId="77777777" w:rsidR="002445FF" w:rsidRDefault="00143226">
      <w:pPr>
        <w:widowControl/>
        <w:spacing w:line="360" w:lineRule="exact"/>
        <w:ind w:firstLineChars="200" w:firstLine="480"/>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会务组联系方式：</w:t>
      </w:r>
    </w:p>
    <w:p w14:paraId="1C6F3892" w14:textId="77777777" w:rsidR="002445FF" w:rsidRDefault="00143226">
      <w:pPr>
        <w:widowControl/>
        <w:spacing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电 </w:t>
      </w:r>
      <w:r>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话：</w:t>
      </w:r>
      <w:r>
        <w:rPr>
          <w:rFonts w:ascii="微软雅黑" w:eastAsia="微软雅黑" w:hAnsi="微软雅黑" w:cs="宋体"/>
          <w:kern w:val="0"/>
          <w:sz w:val="24"/>
          <w:szCs w:val="24"/>
        </w:rPr>
        <w:t>18906415326</w:t>
      </w:r>
      <w:r>
        <w:rPr>
          <w:rFonts w:ascii="微软雅黑" w:eastAsia="微软雅黑" w:hAnsi="微软雅黑" w:cs="宋体" w:hint="eastAsia"/>
          <w:kern w:val="0"/>
          <w:sz w:val="24"/>
          <w:szCs w:val="24"/>
        </w:rPr>
        <w:t>（</w:t>
      </w:r>
      <w:proofErr w:type="gramStart"/>
      <w:r>
        <w:rPr>
          <w:rFonts w:ascii="微软雅黑" w:eastAsia="微软雅黑" w:hAnsi="微软雅黑" w:cs="宋体" w:hint="eastAsia"/>
          <w:kern w:val="0"/>
          <w:sz w:val="24"/>
          <w:szCs w:val="24"/>
        </w:rPr>
        <w:t>微信同</w:t>
      </w:r>
      <w:proofErr w:type="gramEnd"/>
      <w:r>
        <w:rPr>
          <w:rFonts w:ascii="微软雅黑" w:eastAsia="微软雅黑" w:hAnsi="微软雅黑" w:cs="宋体" w:hint="eastAsia"/>
          <w:kern w:val="0"/>
          <w:sz w:val="24"/>
          <w:szCs w:val="24"/>
        </w:rPr>
        <w:t>号）</w:t>
      </w:r>
      <w:r>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联系人：李老师</w:t>
      </w:r>
    </w:p>
    <w:p w14:paraId="71DA047D" w14:textId="77777777" w:rsidR="002445FF" w:rsidRDefault="00143226">
      <w:pPr>
        <w:widowControl/>
        <w:spacing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上海国家会计学院</w:t>
      </w:r>
    </w:p>
    <w:p w14:paraId="53EB2C3D" w14:textId="77777777" w:rsidR="002445FF" w:rsidRDefault="00143226">
      <w:pPr>
        <w:widowControl/>
        <w:spacing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手 </w:t>
      </w:r>
      <w:r>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机：15901702706</w:t>
      </w:r>
      <w:r>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 xml:space="preserve">联系人：干老师 </w:t>
      </w:r>
      <w:r>
        <w:rPr>
          <w:rFonts w:ascii="微软雅黑" w:eastAsia="微软雅黑" w:hAnsi="微软雅黑" w:cs="宋体"/>
          <w:kern w:val="0"/>
          <w:sz w:val="24"/>
          <w:szCs w:val="24"/>
        </w:rPr>
        <w:t xml:space="preserve">  </w:t>
      </w:r>
    </w:p>
    <w:p w14:paraId="000D11AE" w14:textId="77777777" w:rsidR="002445FF" w:rsidRDefault="00143226">
      <w:pPr>
        <w:pStyle w:val="2"/>
        <w:rPr>
          <w:rFonts w:ascii="微软雅黑" w:eastAsia="微软雅黑" w:hAnsi="微软雅黑"/>
        </w:rPr>
      </w:pPr>
      <w:r>
        <w:rPr>
          <w:rFonts w:ascii="微软雅黑" w:eastAsia="微软雅黑" w:hAnsi="微软雅黑" w:hint="eastAsia"/>
        </w:rPr>
        <w:t>六、收费标准及缴费方式</w:t>
      </w:r>
    </w:p>
    <w:p w14:paraId="106BFACF"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1、培训费：人民币3600元/人</w:t>
      </w:r>
    </w:p>
    <w:p w14:paraId="19818C5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2、住宿费：单人间260元/晚/间（学员公寓），餐费 120元/人天，食宿费按实结算（现场缴纳） 。</w:t>
      </w:r>
    </w:p>
    <w:p w14:paraId="19F12B55"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3、请将培训费汇至以下账户：</w:t>
      </w:r>
    </w:p>
    <w:p w14:paraId="541821B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学院开户行：中国建设银行上海徐泾支行</w:t>
      </w:r>
    </w:p>
    <w:p w14:paraId="3CD2E004"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单位名称：上海国家会计学院</w:t>
      </w:r>
    </w:p>
    <w:p w14:paraId="00E8BBFE"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汇款账号：31001984300059768088</w:t>
      </w:r>
    </w:p>
    <w:p w14:paraId="7B80BE23" w14:textId="77777777" w:rsidR="002445FF" w:rsidRDefault="00143226">
      <w:pPr>
        <w:pStyle w:val="2"/>
        <w:rPr>
          <w:rFonts w:ascii="微软雅黑" w:eastAsia="微软雅黑" w:hAnsi="微软雅黑"/>
        </w:rPr>
      </w:pPr>
      <w:r>
        <w:rPr>
          <w:rFonts w:ascii="微软雅黑" w:eastAsia="微软雅黑" w:hAnsi="微软雅黑" w:hint="eastAsia"/>
        </w:rPr>
        <w:t>七、结业及考核</w:t>
      </w:r>
    </w:p>
    <w:p w14:paraId="150B2DC5" w14:textId="77777777" w:rsidR="002445FF" w:rsidRDefault="00143226">
      <w:pPr>
        <w:widowControl/>
        <w:spacing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完成全部课程，颁发上海国家会计学院结业证书（标注学时）。</w:t>
      </w:r>
    </w:p>
    <w:p w14:paraId="68E7908B"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附件一：课程特色</w:t>
      </w:r>
    </w:p>
    <w:p w14:paraId="16A10442"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附件二：课程安排</w:t>
      </w:r>
    </w:p>
    <w:p w14:paraId="3A2D10B3" w14:textId="77777777" w:rsidR="002445FF" w:rsidRDefault="00143226">
      <w:pPr>
        <w:pStyle w:val="3"/>
        <w:spacing w:line="440" w:lineRule="exact"/>
        <w:ind w:firstLine="480"/>
        <w:rPr>
          <w:rFonts w:ascii="微软雅黑" w:eastAsia="微软雅黑" w:hAnsi="微软雅黑"/>
        </w:rPr>
      </w:pPr>
      <w:r>
        <w:rPr>
          <w:rFonts w:ascii="微软雅黑" w:eastAsia="微软雅黑" w:hAnsi="微软雅黑" w:hint="eastAsia"/>
        </w:rPr>
        <w:t>附件三：报名回执表</w:t>
      </w:r>
    </w:p>
    <w:p w14:paraId="6DE669C2" w14:textId="77777777" w:rsidR="002445FF" w:rsidRDefault="00143226">
      <w:pPr>
        <w:widowControl/>
        <w:spacing w:line="360" w:lineRule="exact"/>
        <w:ind w:firstLineChars="200"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上海国家会计学院</w:t>
      </w:r>
    </w:p>
    <w:p w14:paraId="3B74234D" w14:textId="77777777" w:rsidR="002445FF" w:rsidRDefault="00143226">
      <w:pPr>
        <w:widowControl/>
        <w:spacing w:line="360" w:lineRule="exact"/>
        <w:ind w:firstLineChars="200"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公共管理培训部</w:t>
      </w:r>
    </w:p>
    <w:p w14:paraId="717B0322" w14:textId="77777777" w:rsidR="002445FF" w:rsidRDefault="00143226">
      <w:pPr>
        <w:widowControl/>
        <w:spacing w:line="360" w:lineRule="exact"/>
        <w:ind w:firstLineChars="200"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2022年</w:t>
      </w:r>
      <w:r>
        <w:rPr>
          <w:rFonts w:ascii="微软雅黑" w:eastAsia="微软雅黑" w:hAnsi="微软雅黑" w:cs="宋体"/>
          <w:kern w:val="0"/>
          <w:sz w:val="24"/>
          <w:szCs w:val="24"/>
        </w:rPr>
        <w:t>7</w:t>
      </w:r>
      <w:r>
        <w:rPr>
          <w:rFonts w:ascii="微软雅黑" w:eastAsia="微软雅黑" w:hAnsi="微软雅黑" w:cs="宋体" w:hint="eastAsia"/>
          <w:kern w:val="0"/>
          <w:sz w:val="24"/>
          <w:szCs w:val="24"/>
        </w:rPr>
        <w:t>月</w:t>
      </w:r>
      <w:bookmarkStart w:id="0" w:name="_Hlk8036622"/>
    </w:p>
    <w:p w14:paraId="1734181B" w14:textId="77777777" w:rsidR="002445FF" w:rsidRDefault="00143226">
      <w:pPr>
        <w:wordWrap w:val="0"/>
        <w:ind w:right="140" w:firstLineChars="100" w:firstLine="280"/>
        <w:jc w:val="right"/>
        <w:rPr>
          <w:rFonts w:ascii="微软雅黑" w:eastAsia="微软雅黑" w:hAnsi="微软雅黑"/>
          <w:sz w:val="28"/>
          <w:szCs w:val="28"/>
        </w:rPr>
      </w:pPr>
      <w:r>
        <w:rPr>
          <w:rFonts w:ascii="微软雅黑" w:eastAsia="微软雅黑" w:hAnsi="微软雅黑"/>
          <w:noProof/>
          <w:sz w:val="28"/>
          <w:szCs w:val="28"/>
        </w:rPr>
        <mc:AlternateContent>
          <mc:Choice Requires="wps">
            <w:drawing>
              <wp:anchor distT="0" distB="0" distL="114300" distR="114300" simplePos="0" relativeHeight="251661312" behindDoc="0" locked="0" layoutInCell="1" allowOverlap="1" wp14:anchorId="1AD6EBF2" wp14:editId="42265710">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psCustomData="http://www.wps.cn/officeDocument/2013/wpsCustomData">
            <w:pict>
              <v:line id="Line 4" o:spid="_x0000_s1026" o:spt="20" style="position:absolute;left:0pt;flip:y;margin-left:-16.3pt;margin-top:25.35pt;height:0.75pt;width:447pt;z-index:251661312;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sYkrYAAAACQEAAA8AAAAAAAAAAQAgAAAA&#10;IgAAAGRycy9kb3ducmV2LnhtbFBLAQIUABQAAAAIAIdO4kDmj7cT0gEAAKIDAAAOAAAAAAAAAAEA&#10;IAAAACcBAABkcnMvZTJvRG9jLnhtbFBLBQYAAAAABgAGAFkBAABrBQAAAAA=&#10;">
                <v:fill on="f" focussize="0,0"/>
                <v:stroke weight="1.5pt" color="#000000 [3216]" miterlimit="8" joinstyle="miter"/>
                <v:imagedata o:title=""/>
                <o:lock v:ext="edit" aspectratio="f"/>
              </v:line>
            </w:pict>
          </mc:Fallback>
        </mc:AlternateContent>
      </w:r>
    </w:p>
    <w:p w14:paraId="448D74E3" w14:textId="77777777" w:rsidR="002445FF" w:rsidRDefault="00143226">
      <w:pPr>
        <w:spacing w:line="360" w:lineRule="exact"/>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2336" behindDoc="0" locked="0" layoutInCell="1" allowOverlap="1" wp14:anchorId="53E6EAD6" wp14:editId="5CCBEE67">
                <wp:simplePos x="0" y="0"/>
                <wp:positionH relativeFrom="column">
                  <wp:posOffset>-207645</wp:posOffset>
                </wp:positionH>
                <wp:positionV relativeFrom="paragraph">
                  <wp:posOffset>266700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6.35pt;margin-top:21pt;height:0.75pt;width:445.5pt;z-index:251662336;mso-width-relative:page;mso-height-relative:page;" filled="f" stroked="t" coordsize="21600,21600" o:gfxdata="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mNfXXAAAACQEAAA8AAAAAAAAAAQAgAAAA&#10;IgAAAGRycy9kb3ducmV2LnhtbFBLAQIUABQAAAAIAIdO4kCUPIof0wEAAGoDAAAOAAAAAAAAAAEA&#10;IAAAACYBAABkcnMvZTJvRG9jLnhtbFBLBQYAAAAABgAGAFkBAABrBQAAAAA=&#10;">
                <v:fill on="f" focussize="0,0"/>
                <v:stroke weight="1.25pt" color="#000000" joinstyle="round"/>
                <v:imagedata o:title=""/>
                <o:lock v:ext="edit" aspectratio="f"/>
              </v:line>
            </w:pict>
          </mc:Fallback>
        </mc:AlternateContent>
      </w:r>
      <w:r>
        <w:rPr>
          <w:rFonts w:ascii="微软雅黑" w:eastAsia="微软雅黑" w:hAnsi="微软雅黑" w:hint="eastAsia"/>
          <w:sz w:val="28"/>
          <w:szCs w:val="28"/>
        </w:rPr>
        <w:t>上海国家会计学院公共管理培训部</w:t>
      </w:r>
      <w:r>
        <w:rPr>
          <w:rFonts w:ascii="微软雅黑" w:eastAsia="微软雅黑" w:hAnsi="微软雅黑"/>
          <w:sz w:val="28"/>
          <w:szCs w:val="28"/>
        </w:rPr>
        <w:t xml:space="preserve">              </w:t>
      </w:r>
      <w:r>
        <w:rPr>
          <w:rFonts w:ascii="微软雅黑" w:eastAsia="微软雅黑" w:hAnsi="微软雅黑" w:hint="eastAsia"/>
          <w:sz w:val="28"/>
          <w:szCs w:val="28"/>
        </w:rPr>
        <w:t>2022年</w:t>
      </w:r>
      <w:r>
        <w:rPr>
          <w:rFonts w:ascii="微软雅黑" w:eastAsia="微软雅黑" w:hAnsi="微软雅黑"/>
          <w:sz w:val="28"/>
          <w:szCs w:val="28"/>
        </w:rPr>
        <w:t>7</w:t>
      </w:r>
      <w:r>
        <w:rPr>
          <w:rFonts w:ascii="微软雅黑" w:eastAsia="微软雅黑" w:hAnsi="微软雅黑" w:hint="eastAsia"/>
          <w:sz w:val="28"/>
          <w:szCs w:val="28"/>
        </w:rPr>
        <w:t>月印</w:t>
      </w:r>
      <w:bookmarkEnd w:id="0"/>
    </w:p>
    <w:p w14:paraId="01CA0155" w14:textId="77777777" w:rsidR="002445FF" w:rsidRDefault="00143226">
      <w:pPr>
        <w:pStyle w:val="2"/>
        <w:rPr>
          <w:rFonts w:ascii="微软雅黑" w:eastAsia="微软雅黑" w:hAnsi="微软雅黑"/>
        </w:rPr>
      </w:pPr>
      <w:r>
        <w:rPr>
          <w:rFonts w:ascii="微软雅黑" w:eastAsia="微软雅黑" w:hAnsi="微软雅黑" w:hint="eastAsia"/>
        </w:rPr>
        <w:t>附件一：课程特色</w:t>
      </w:r>
    </w:p>
    <w:p w14:paraId="3DA1DDB1"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上海交通大学医学院附属新华医院（简称“新华医院”）医学学科门类齐全</w:t>
      </w:r>
      <w:proofErr w:type="gramStart"/>
      <w:r>
        <w:rPr>
          <w:rFonts w:ascii="微软雅黑" w:eastAsia="微软雅黑" w:hAnsi="微软雅黑" w:hint="eastAsia"/>
          <w:sz w:val="24"/>
          <w:szCs w:val="24"/>
        </w:rPr>
        <w:t>且特色</w:t>
      </w:r>
      <w:proofErr w:type="gramEnd"/>
      <w:r>
        <w:rPr>
          <w:rFonts w:ascii="微软雅黑" w:eastAsia="微软雅黑" w:hAnsi="微软雅黑" w:hint="eastAsia"/>
          <w:sz w:val="24"/>
          <w:szCs w:val="24"/>
        </w:rPr>
        <w:t>鲜明，拥有</w:t>
      </w:r>
      <w:r>
        <w:rPr>
          <w:rFonts w:ascii="微软雅黑" w:eastAsia="微软雅黑" w:hAnsi="微软雅黑"/>
          <w:sz w:val="24"/>
          <w:szCs w:val="24"/>
        </w:rPr>
        <w:t>60</w:t>
      </w:r>
      <w:r>
        <w:rPr>
          <w:rFonts w:ascii="微软雅黑" w:eastAsia="微软雅黑" w:hAnsi="微软雅黑" w:hint="eastAsia"/>
          <w:sz w:val="24"/>
          <w:szCs w:val="24"/>
        </w:rPr>
        <w:t>个临床科室和</w:t>
      </w:r>
      <w:r>
        <w:rPr>
          <w:rFonts w:ascii="微软雅黑" w:eastAsia="微软雅黑" w:hAnsi="微软雅黑"/>
          <w:sz w:val="24"/>
          <w:szCs w:val="24"/>
        </w:rPr>
        <w:t>95</w:t>
      </w:r>
      <w:r>
        <w:rPr>
          <w:rFonts w:ascii="微软雅黑" w:eastAsia="微软雅黑" w:hAnsi="微软雅黑" w:hint="eastAsia"/>
          <w:sz w:val="24"/>
          <w:szCs w:val="24"/>
        </w:rPr>
        <w:t>个各级学科，门急诊量常年位居</w:t>
      </w:r>
      <w:proofErr w:type="gramStart"/>
      <w:r>
        <w:rPr>
          <w:rFonts w:ascii="微软雅黑" w:eastAsia="微软雅黑" w:hAnsi="微软雅黑" w:hint="eastAsia"/>
          <w:sz w:val="24"/>
          <w:szCs w:val="24"/>
        </w:rPr>
        <w:t>上海市级三甲</w:t>
      </w:r>
      <w:proofErr w:type="gramEnd"/>
      <w:r>
        <w:rPr>
          <w:rFonts w:ascii="微软雅黑" w:eastAsia="微软雅黑" w:hAnsi="微软雅黑" w:hint="eastAsia"/>
          <w:sz w:val="24"/>
          <w:szCs w:val="24"/>
        </w:rPr>
        <w:t>医院前茅。在财务管理方面，新华医院是上海最早开展</w:t>
      </w:r>
      <w:r>
        <w:rPr>
          <w:rFonts w:ascii="微软雅黑" w:eastAsia="微软雅黑" w:hAnsi="微软雅黑"/>
          <w:sz w:val="24"/>
          <w:szCs w:val="24"/>
        </w:rPr>
        <w:t>HRP</w:t>
      </w:r>
      <w:r>
        <w:rPr>
          <w:rFonts w:ascii="微软雅黑" w:eastAsia="微软雅黑" w:hAnsi="微软雅黑" w:hint="eastAsia"/>
          <w:sz w:val="24"/>
          <w:szCs w:val="24"/>
        </w:rPr>
        <w:t>财务业务一体化建设、全面预算管理、</w:t>
      </w:r>
      <w:r>
        <w:rPr>
          <w:rFonts w:ascii="微软雅黑" w:eastAsia="微软雅黑" w:hAnsi="微软雅黑"/>
          <w:sz w:val="24"/>
          <w:szCs w:val="24"/>
        </w:rPr>
        <w:t>DRG</w:t>
      </w:r>
      <w:r>
        <w:rPr>
          <w:rFonts w:ascii="微软雅黑" w:eastAsia="微软雅黑" w:hAnsi="微软雅黑" w:hint="eastAsia"/>
          <w:sz w:val="24"/>
          <w:szCs w:val="24"/>
        </w:rPr>
        <w:t>病种成本管理、临床专科运营助理等精细化管理举措的市级医院之一。多年来，新华医院的运营管理始终</w:t>
      </w:r>
      <w:proofErr w:type="gramStart"/>
      <w:r>
        <w:rPr>
          <w:rFonts w:ascii="微软雅黑" w:eastAsia="微软雅黑" w:hAnsi="微软雅黑" w:hint="eastAsia"/>
          <w:sz w:val="24"/>
          <w:szCs w:val="24"/>
        </w:rPr>
        <w:t>以业财融合</w:t>
      </w:r>
      <w:proofErr w:type="gramEnd"/>
      <w:r>
        <w:rPr>
          <w:rFonts w:ascii="微软雅黑" w:eastAsia="微软雅黑" w:hAnsi="微软雅黑" w:hint="eastAsia"/>
          <w:sz w:val="24"/>
          <w:szCs w:val="24"/>
        </w:rPr>
        <w:t>为核心，病种成本管理、临床专科运营助理等管理成果曾先后获得上海市科技进步三等奖、第四届“上海</w:t>
      </w:r>
      <w:proofErr w:type="gramStart"/>
      <w:r>
        <w:rPr>
          <w:rFonts w:ascii="微软雅黑" w:eastAsia="微软雅黑" w:hAnsi="微软雅黑" w:hint="eastAsia"/>
          <w:sz w:val="24"/>
          <w:szCs w:val="24"/>
        </w:rPr>
        <w:t>医改十</w:t>
      </w:r>
      <w:proofErr w:type="gramEnd"/>
      <w:r>
        <w:rPr>
          <w:rFonts w:ascii="微软雅黑" w:eastAsia="微软雅黑" w:hAnsi="微软雅黑" w:hint="eastAsia"/>
          <w:sz w:val="24"/>
          <w:szCs w:val="24"/>
        </w:rPr>
        <w:t>大创新举措”提名奖、国家</w:t>
      </w:r>
      <w:proofErr w:type="gramStart"/>
      <w:r>
        <w:rPr>
          <w:rFonts w:ascii="微软雅黑" w:eastAsia="微软雅黑" w:hAnsi="微软雅黑" w:hint="eastAsia"/>
          <w:sz w:val="24"/>
          <w:szCs w:val="24"/>
        </w:rPr>
        <w:t>卫健委公立医院</w:t>
      </w:r>
      <w:proofErr w:type="gramEnd"/>
      <w:r>
        <w:rPr>
          <w:rFonts w:ascii="微软雅黑" w:eastAsia="微软雅黑" w:hAnsi="微软雅黑" w:hint="eastAsia"/>
          <w:sz w:val="24"/>
          <w:szCs w:val="24"/>
        </w:rPr>
        <w:t>高质量发展典型案例、中国医院最佳绩效实践案例、公立医疗机构经济管理年“百佳特优案例”等荣誉，</w:t>
      </w:r>
      <w:r>
        <w:rPr>
          <w:rFonts w:ascii="微软雅黑" w:eastAsia="微软雅黑" w:hAnsi="微软雅黑"/>
          <w:sz w:val="24"/>
          <w:szCs w:val="24"/>
        </w:rPr>
        <w:t>2022</w:t>
      </w:r>
      <w:r>
        <w:rPr>
          <w:rFonts w:ascii="微软雅黑" w:eastAsia="微软雅黑" w:hAnsi="微软雅黑" w:hint="eastAsia"/>
          <w:sz w:val="24"/>
          <w:szCs w:val="24"/>
        </w:rPr>
        <w:t>年</w:t>
      </w:r>
      <w:r>
        <w:rPr>
          <w:rFonts w:ascii="微软雅黑" w:eastAsia="微软雅黑" w:hAnsi="微软雅黑"/>
          <w:sz w:val="24"/>
          <w:szCs w:val="24"/>
        </w:rPr>
        <w:t>3</w:t>
      </w:r>
      <w:r>
        <w:rPr>
          <w:rFonts w:ascii="微软雅黑" w:eastAsia="微软雅黑" w:hAnsi="微软雅黑" w:hint="eastAsia"/>
          <w:sz w:val="24"/>
          <w:szCs w:val="24"/>
        </w:rPr>
        <w:t>月，上海市</w:t>
      </w:r>
      <w:proofErr w:type="gramStart"/>
      <w:r>
        <w:rPr>
          <w:rFonts w:ascii="微软雅黑" w:eastAsia="微软雅黑" w:hAnsi="微软雅黑" w:hint="eastAsia"/>
          <w:sz w:val="24"/>
          <w:szCs w:val="24"/>
        </w:rPr>
        <w:t>卫健委在</w:t>
      </w:r>
      <w:proofErr w:type="gramEnd"/>
      <w:r>
        <w:rPr>
          <w:rFonts w:ascii="微软雅黑" w:eastAsia="微软雅黑" w:hAnsi="微软雅黑" w:hint="eastAsia"/>
          <w:sz w:val="24"/>
          <w:szCs w:val="24"/>
        </w:rPr>
        <w:t>全国卫生健康财务工作会议上交流了新华医院运营管理中的具体做法与经验。</w:t>
      </w:r>
    </w:p>
    <w:p w14:paraId="05C2918B" w14:textId="77777777" w:rsidR="002445FF" w:rsidRDefault="00143226">
      <w:pPr>
        <w:spacing w:line="44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 xml:space="preserve">作为首家合作的案例式教学单位，在上海申康医院发展中心的统一领导下，新华医院作为申康中心“公立医院经济运行高质量转型发展的实施路径研究”管理研究项目的依托单位，在公立医院财务管理与高质量发展道路上不断探索，持续创新。特别是2022年6月，新华医院“共享、协同、智慧框架下的现代医院管理和运营决策支持信息标准化体系建设”成为2022年上海市卫生健康信息标准化揭榜攻关项目。孙锟院长领衔的攻关团队以现代医院管理领域中“建立健全医院人、财、物现代化管理和运营决策支持的信息标准化体系”为主攻方向，以新华医院多年来自主创新形成的人、财、物一体化运营管理实践和信息系统建设成果为依托，参照国家卫生主管部门的已有标准，结合标准体系化、新管理模式支撑、新技术融合等特点，努力建立卫生资源、运营决策、数据交互三个层面的数据标准,以填补医院运营管理领域标准空白，旨在推动实现区域内医院与医院之间数据同质、同源、同标准，支撑区域内医疗资源合理化配置管理和使用效率提升。 </w:t>
      </w:r>
    </w:p>
    <w:p w14:paraId="14563B7E" w14:textId="77777777" w:rsidR="002445FF" w:rsidRDefault="002445FF">
      <w:pPr>
        <w:spacing w:line="440" w:lineRule="exact"/>
        <w:ind w:firstLineChars="200" w:firstLine="480"/>
        <w:jc w:val="left"/>
        <w:rPr>
          <w:rFonts w:ascii="微软雅黑" w:eastAsia="微软雅黑" w:hAnsi="微软雅黑"/>
          <w:sz w:val="24"/>
          <w:szCs w:val="24"/>
        </w:rPr>
      </w:pPr>
    </w:p>
    <w:p w14:paraId="4B351AE1" w14:textId="77777777" w:rsidR="002445FF" w:rsidRDefault="00143226">
      <w:pPr>
        <w:widowControl/>
        <w:jc w:val="left"/>
        <w:rPr>
          <w:rFonts w:ascii="微软雅黑" w:eastAsia="微软雅黑" w:hAnsi="微软雅黑" w:cs="Times New Roman (标题 CS)"/>
          <w:b/>
          <w:bCs/>
          <w:sz w:val="24"/>
          <w:szCs w:val="32"/>
        </w:rPr>
      </w:pPr>
      <w:r>
        <w:rPr>
          <w:rFonts w:ascii="微软雅黑" w:eastAsia="微软雅黑" w:hAnsi="微软雅黑"/>
        </w:rPr>
        <w:br w:type="page"/>
      </w:r>
    </w:p>
    <w:p w14:paraId="4F54F5DD" w14:textId="77777777" w:rsidR="002445FF" w:rsidRDefault="00143226">
      <w:pPr>
        <w:pStyle w:val="2"/>
        <w:rPr>
          <w:rFonts w:ascii="微软雅黑" w:eastAsia="微软雅黑" w:hAnsi="微软雅黑"/>
        </w:rPr>
      </w:pPr>
      <w:r>
        <w:rPr>
          <w:rFonts w:ascii="微软雅黑" w:eastAsia="微软雅黑" w:hAnsi="微软雅黑" w:hint="eastAsia"/>
        </w:rPr>
        <w:lastRenderedPageBreak/>
        <w:t>附件二：课程安排</w:t>
      </w:r>
    </w:p>
    <w:tbl>
      <w:tblPr>
        <w:tblW w:w="7953" w:type="dxa"/>
        <w:tblInd w:w="93" w:type="dxa"/>
        <w:tblLook w:val="04A0" w:firstRow="1" w:lastRow="0" w:firstColumn="1" w:lastColumn="0" w:noHBand="0" w:noVBand="1"/>
      </w:tblPr>
      <w:tblGrid>
        <w:gridCol w:w="753"/>
        <w:gridCol w:w="6492"/>
        <w:gridCol w:w="708"/>
      </w:tblGrid>
      <w:tr w:rsidR="002445FF" w14:paraId="78B2D1FF" w14:textId="77777777">
        <w:trPr>
          <w:trHeight w:val="58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90E1C"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序号</w:t>
            </w:r>
          </w:p>
        </w:tc>
        <w:tc>
          <w:tcPr>
            <w:tcW w:w="6492" w:type="dxa"/>
            <w:tcBorders>
              <w:top w:val="single" w:sz="4" w:space="0" w:color="auto"/>
              <w:left w:val="nil"/>
              <w:bottom w:val="single" w:sz="4" w:space="0" w:color="auto"/>
              <w:right w:val="single" w:sz="4" w:space="0" w:color="auto"/>
            </w:tcBorders>
            <w:shd w:val="clear" w:color="auto" w:fill="auto"/>
            <w:noWrap/>
            <w:vAlign w:val="center"/>
          </w:tcPr>
          <w:p w14:paraId="1E4EEE17"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课程名称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109862"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学时</w:t>
            </w:r>
          </w:p>
        </w:tc>
      </w:tr>
      <w:tr w:rsidR="002445FF" w14:paraId="3BDBE943"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F2F2123"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w:t>
            </w:r>
          </w:p>
        </w:tc>
        <w:tc>
          <w:tcPr>
            <w:tcW w:w="6492" w:type="dxa"/>
            <w:tcBorders>
              <w:top w:val="nil"/>
              <w:left w:val="nil"/>
              <w:bottom w:val="single" w:sz="4" w:space="0" w:color="auto"/>
              <w:right w:val="single" w:sz="4" w:space="0" w:color="auto"/>
            </w:tcBorders>
            <w:shd w:val="clear" w:color="auto" w:fill="auto"/>
            <w:vAlign w:val="center"/>
          </w:tcPr>
          <w:p w14:paraId="4E174582"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医药卫生体制改革、</w:t>
            </w:r>
            <w:proofErr w:type="gramStart"/>
            <w:r>
              <w:rPr>
                <w:rFonts w:ascii="微软雅黑" w:eastAsia="微软雅黑" w:hAnsi="微软雅黑" w:cs="宋体" w:hint="eastAsia"/>
                <w:color w:val="000000"/>
                <w:kern w:val="0"/>
                <w:sz w:val="24"/>
                <w:szCs w:val="24"/>
              </w:rPr>
              <w:t>医</w:t>
            </w:r>
            <w:proofErr w:type="gramEnd"/>
            <w:r>
              <w:rPr>
                <w:rFonts w:ascii="微软雅黑" w:eastAsia="微软雅黑" w:hAnsi="微软雅黑" w:cs="宋体" w:hint="eastAsia"/>
                <w:color w:val="000000"/>
                <w:kern w:val="0"/>
                <w:sz w:val="24"/>
                <w:szCs w:val="24"/>
              </w:rPr>
              <w:t>保体制改革路径及其对公立医院运营的影响</w:t>
            </w:r>
          </w:p>
        </w:tc>
        <w:tc>
          <w:tcPr>
            <w:tcW w:w="708" w:type="dxa"/>
            <w:tcBorders>
              <w:top w:val="nil"/>
              <w:left w:val="nil"/>
              <w:bottom w:val="single" w:sz="4" w:space="0" w:color="auto"/>
              <w:right w:val="single" w:sz="4" w:space="0" w:color="auto"/>
            </w:tcBorders>
            <w:shd w:val="clear" w:color="auto" w:fill="auto"/>
            <w:noWrap/>
            <w:vAlign w:val="center"/>
          </w:tcPr>
          <w:p w14:paraId="6DD26790"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r>
      <w:tr w:rsidR="002445FF" w14:paraId="728F5583"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E90832E"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c>
          <w:tcPr>
            <w:tcW w:w="6492" w:type="dxa"/>
            <w:tcBorders>
              <w:top w:val="nil"/>
              <w:left w:val="nil"/>
              <w:bottom w:val="single" w:sz="4" w:space="0" w:color="auto"/>
              <w:right w:val="single" w:sz="4" w:space="0" w:color="auto"/>
            </w:tcBorders>
            <w:shd w:val="clear" w:color="auto" w:fill="auto"/>
            <w:vAlign w:val="center"/>
          </w:tcPr>
          <w:p w14:paraId="090585BC"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以战略目标为导向、以资源配置为核心、以绩效考核为抓手</w:t>
            </w:r>
          </w:p>
          <w:p w14:paraId="33E820E4"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——新华医院全面预算精细化管理实践</w:t>
            </w:r>
          </w:p>
        </w:tc>
        <w:tc>
          <w:tcPr>
            <w:tcW w:w="708" w:type="dxa"/>
            <w:tcBorders>
              <w:top w:val="nil"/>
              <w:left w:val="nil"/>
              <w:bottom w:val="single" w:sz="4" w:space="0" w:color="auto"/>
              <w:right w:val="single" w:sz="4" w:space="0" w:color="auto"/>
            </w:tcBorders>
            <w:shd w:val="clear" w:color="auto" w:fill="auto"/>
            <w:noWrap/>
            <w:vAlign w:val="center"/>
          </w:tcPr>
          <w:p w14:paraId="6B428904"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086524E1"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FD0748D"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3</w:t>
            </w:r>
          </w:p>
        </w:tc>
        <w:tc>
          <w:tcPr>
            <w:tcW w:w="6492" w:type="dxa"/>
            <w:tcBorders>
              <w:top w:val="nil"/>
              <w:left w:val="nil"/>
              <w:bottom w:val="single" w:sz="4" w:space="0" w:color="auto"/>
              <w:right w:val="single" w:sz="4" w:space="0" w:color="auto"/>
            </w:tcBorders>
            <w:shd w:val="clear" w:color="auto" w:fill="auto"/>
            <w:vAlign w:val="center"/>
          </w:tcPr>
          <w:p w14:paraId="7B145010"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战略成本视角下的新华医院成本管理策略</w:t>
            </w:r>
          </w:p>
        </w:tc>
        <w:tc>
          <w:tcPr>
            <w:tcW w:w="708" w:type="dxa"/>
            <w:tcBorders>
              <w:top w:val="nil"/>
              <w:left w:val="nil"/>
              <w:bottom w:val="single" w:sz="4" w:space="0" w:color="auto"/>
              <w:right w:val="single" w:sz="4" w:space="0" w:color="auto"/>
            </w:tcBorders>
            <w:shd w:val="clear" w:color="auto" w:fill="auto"/>
            <w:noWrap/>
            <w:vAlign w:val="center"/>
          </w:tcPr>
          <w:p w14:paraId="555065FB"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r>
      <w:tr w:rsidR="002445FF" w14:paraId="2B611040"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B448549"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c>
          <w:tcPr>
            <w:tcW w:w="6492" w:type="dxa"/>
            <w:tcBorders>
              <w:top w:val="nil"/>
              <w:left w:val="nil"/>
              <w:bottom w:val="single" w:sz="4" w:space="0" w:color="auto"/>
              <w:right w:val="single" w:sz="4" w:space="0" w:color="auto"/>
            </w:tcBorders>
            <w:shd w:val="clear" w:color="auto" w:fill="auto"/>
            <w:vAlign w:val="center"/>
          </w:tcPr>
          <w:p w14:paraId="7EBA082C"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从</w:t>
            </w:r>
            <w:proofErr w:type="gramStart"/>
            <w:r>
              <w:rPr>
                <w:rFonts w:ascii="微软雅黑" w:eastAsia="微软雅黑" w:hAnsi="微软雅黑" w:cs="宋体" w:hint="eastAsia"/>
                <w:color w:val="000000"/>
                <w:kern w:val="0"/>
                <w:sz w:val="24"/>
                <w:szCs w:val="24"/>
              </w:rPr>
              <w:t>绩效国</w:t>
            </w:r>
            <w:proofErr w:type="gramEnd"/>
            <w:r>
              <w:rPr>
                <w:rFonts w:ascii="微软雅黑" w:eastAsia="微软雅黑" w:hAnsi="微软雅黑" w:cs="宋体" w:hint="eastAsia"/>
                <w:color w:val="000000"/>
                <w:kern w:val="0"/>
                <w:sz w:val="24"/>
                <w:szCs w:val="24"/>
              </w:rPr>
              <w:t>考到高质量发展——新华医院运营绩效管理实践</w:t>
            </w:r>
          </w:p>
        </w:tc>
        <w:tc>
          <w:tcPr>
            <w:tcW w:w="708" w:type="dxa"/>
            <w:tcBorders>
              <w:top w:val="nil"/>
              <w:left w:val="nil"/>
              <w:bottom w:val="single" w:sz="4" w:space="0" w:color="auto"/>
              <w:right w:val="single" w:sz="4" w:space="0" w:color="auto"/>
            </w:tcBorders>
            <w:shd w:val="clear" w:color="auto" w:fill="auto"/>
            <w:noWrap/>
            <w:vAlign w:val="center"/>
          </w:tcPr>
          <w:p w14:paraId="41D88B34"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4187FB6D"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45B9303B"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5</w:t>
            </w:r>
          </w:p>
        </w:tc>
        <w:tc>
          <w:tcPr>
            <w:tcW w:w="6492" w:type="dxa"/>
            <w:tcBorders>
              <w:top w:val="nil"/>
              <w:left w:val="nil"/>
              <w:bottom w:val="single" w:sz="4" w:space="0" w:color="auto"/>
              <w:right w:val="single" w:sz="4" w:space="0" w:color="auto"/>
            </w:tcBorders>
            <w:shd w:val="clear" w:color="auto" w:fill="auto"/>
            <w:vAlign w:val="center"/>
          </w:tcPr>
          <w:p w14:paraId="6C7C1E20"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以风险防范为导向的新华医院内部控制体系建设</w:t>
            </w:r>
          </w:p>
        </w:tc>
        <w:tc>
          <w:tcPr>
            <w:tcW w:w="708" w:type="dxa"/>
            <w:tcBorders>
              <w:top w:val="nil"/>
              <w:left w:val="nil"/>
              <w:bottom w:val="single" w:sz="4" w:space="0" w:color="auto"/>
              <w:right w:val="single" w:sz="4" w:space="0" w:color="auto"/>
            </w:tcBorders>
            <w:shd w:val="clear" w:color="auto" w:fill="auto"/>
            <w:noWrap/>
            <w:vAlign w:val="center"/>
          </w:tcPr>
          <w:p w14:paraId="709C9188"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023DF1CD"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18C56987"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6</w:t>
            </w:r>
          </w:p>
        </w:tc>
        <w:tc>
          <w:tcPr>
            <w:tcW w:w="6492" w:type="dxa"/>
            <w:tcBorders>
              <w:top w:val="nil"/>
              <w:left w:val="nil"/>
              <w:bottom w:val="single" w:sz="4" w:space="0" w:color="auto"/>
              <w:right w:val="single" w:sz="4" w:space="0" w:color="auto"/>
            </w:tcBorders>
            <w:shd w:val="clear" w:color="auto" w:fill="auto"/>
            <w:vAlign w:val="center"/>
          </w:tcPr>
          <w:p w14:paraId="686E2D38"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公立医院精益运营管理体系及经济运行分析体系构建</w:t>
            </w:r>
          </w:p>
        </w:tc>
        <w:tc>
          <w:tcPr>
            <w:tcW w:w="708" w:type="dxa"/>
            <w:tcBorders>
              <w:top w:val="nil"/>
              <w:left w:val="nil"/>
              <w:bottom w:val="single" w:sz="4" w:space="0" w:color="auto"/>
              <w:right w:val="single" w:sz="4" w:space="0" w:color="auto"/>
            </w:tcBorders>
            <w:shd w:val="clear" w:color="auto" w:fill="auto"/>
            <w:noWrap/>
            <w:vAlign w:val="center"/>
          </w:tcPr>
          <w:p w14:paraId="65C99AA1"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5AC7ED82"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1D71FAC0"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7</w:t>
            </w:r>
          </w:p>
        </w:tc>
        <w:tc>
          <w:tcPr>
            <w:tcW w:w="6492" w:type="dxa"/>
            <w:tcBorders>
              <w:top w:val="nil"/>
              <w:left w:val="nil"/>
              <w:bottom w:val="single" w:sz="4" w:space="0" w:color="auto"/>
              <w:right w:val="single" w:sz="4" w:space="0" w:color="auto"/>
            </w:tcBorders>
            <w:shd w:val="clear" w:color="auto" w:fill="auto"/>
            <w:vAlign w:val="center"/>
          </w:tcPr>
          <w:p w14:paraId="38AD50D9"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“共享、协同、智慧”——新华医院信息化系统建设</w:t>
            </w:r>
          </w:p>
        </w:tc>
        <w:tc>
          <w:tcPr>
            <w:tcW w:w="708" w:type="dxa"/>
            <w:tcBorders>
              <w:top w:val="nil"/>
              <w:left w:val="nil"/>
              <w:bottom w:val="single" w:sz="4" w:space="0" w:color="auto"/>
              <w:right w:val="single" w:sz="4" w:space="0" w:color="auto"/>
            </w:tcBorders>
            <w:shd w:val="clear" w:color="auto" w:fill="auto"/>
            <w:noWrap/>
            <w:vAlign w:val="center"/>
          </w:tcPr>
          <w:p w14:paraId="6C036F0B"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3403590D"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42EF7F73"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8</w:t>
            </w:r>
          </w:p>
        </w:tc>
        <w:tc>
          <w:tcPr>
            <w:tcW w:w="6492" w:type="dxa"/>
            <w:tcBorders>
              <w:top w:val="nil"/>
              <w:left w:val="nil"/>
              <w:bottom w:val="single" w:sz="4" w:space="0" w:color="auto"/>
              <w:right w:val="single" w:sz="4" w:space="0" w:color="auto"/>
            </w:tcBorders>
            <w:shd w:val="clear" w:color="auto" w:fill="auto"/>
            <w:vAlign w:val="center"/>
          </w:tcPr>
          <w:p w14:paraId="78F935D7"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“共建、共管、共治”——新华医院专科运营助理实践与探索</w:t>
            </w:r>
          </w:p>
        </w:tc>
        <w:tc>
          <w:tcPr>
            <w:tcW w:w="708" w:type="dxa"/>
            <w:tcBorders>
              <w:top w:val="nil"/>
              <w:left w:val="nil"/>
              <w:bottom w:val="single" w:sz="4" w:space="0" w:color="auto"/>
              <w:right w:val="single" w:sz="4" w:space="0" w:color="auto"/>
            </w:tcBorders>
            <w:shd w:val="clear" w:color="auto" w:fill="auto"/>
            <w:noWrap/>
            <w:vAlign w:val="center"/>
          </w:tcPr>
          <w:p w14:paraId="0B937BDC"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r>
      <w:tr w:rsidR="002445FF" w14:paraId="08E3E134" w14:textId="77777777">
        <w:trPr>
          <w:trHeight w:val="585"/>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F7C0F0D"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9</w:t>
            </w:r>
          </w:p>
        </w:tc>
        <w:tc>
          <w:tcPr>
            <w:tcW w:w="6492" w:type="dxa"/>
            <w:tcBorders>
              <w:top w:val="nil"/>
              <w:left w:val="nil"/>
              <w:bottom w:val="single" w:sz="4" w:space="0" w:color="auto"/>
              <w:right w:val="single" w:sz="4" w:space="0" w:color="auto"/>
            </w:tcBorders>
            <w:shd w:val="clear" w:color="auto" w:fill="auto"/>
            <w:vAlign w:val="center"/>
          </w:tcPr>
          <w:p w14:paraId="555A62ED" w14:textId="77777777" w:rsidR="002445FF" w:rsidRDefault="00143226">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从后视镜到导航仪---基于新华医院运营助理实践的探讨与交流</w:t>
            </w:r>
          </w:p>
        </w:tc>
        <w:tc>
          <w:tcPr>
            <w:tcW w:w="708" w:type="dxa"/>
            <w:tcBorders>
              <w:top w:val="nil"/>
              <w:left w:val="nil"/>
              <w:bottom w:val="single" w:sz="4" w:space="0" w:color="auto"/>
              <w:right w:val="single" w:sz="4" w:space="0" w:color="auto"/>
            </w:tcBorders>
            <w:shd w:val="clear" w:color="auto" w:fill="auto"/>
            <w:noWrap/>
            <w:vAlign w:val="center"/>
          </w:tcPr>
          <w:p w14:paraId="07920C05" w14:textId="77777777" w:rsidR="002445FF" w:rsidRDefault="00143226">
            <w:pPr>
              <w:widowControl/>
              <w:spacing w:line="360" w:lineRule="auto"/>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r>
    </w:tbl>
    <w:p w14:paraId="29434303" w14:textId="77777777" w:rsidR="002445FF" w:rsidRDefault="002445FF">
      <w:pPr>
        <w:widowControl/>
        <w:spacing w:line="360" w:lineRule="auto"/>
        <w:jc w:val="left"/>
        <w:rPr>
          <w:rFonts w:ascii="微软雅黑" w:eastAsia="微软雅黑" w:hAnsi="微软雅黑" w:cs="Times New Roman (标题 CS)"/>
          <w:b/>
          <w:bCs/>
          <w:sz w:val="24"/>
          <w:szCs w:val="32"/>
        </w:rPr>
      </w:pPr>
    </w:p>
    <w:p w14:paraId="146E89A2" w14:textId="77777777" w:rsidR="002445FF" w:rsidRDefault="00143226">
      <w:pPr>
        <w:widowControl/>
        <w:spacing w:line="360" w:lineRule="auto"/>
        <w:jc w:val="left"/>
        <w:rPr>
          <w:rFonts w:ascii="微软雅黑" w:eastAsia="微软雅黑" w:hAnsi="微软雅黑" w:cs="Times New Roman (标题 CS)"/>
          <w:b/>
          <w:bCs/>
          <w:sz w:val="24"/>
          <w:szCs w:val="32"/>
        </w:rPr>
      </w:pPr>
      <w:r>
        <w:rPr>
          <w:rFonts w:ascii="微软雅黑" w:eastAsia="微软雅黑" w:hAnsi="微软雅黑"/>
        </w:rPr>
        <w:br w:type="page"/>
      </w:r>
    </w:p>
    <w:p w14:paraId="6FA2C086" w14:textId="77777777" w:rsidR="002445FF" w:rsidRDefault="00143226">
      <w:pPr>
        <w:pStyle w:val="2"/>
        <w:spacing w:line="440" w:lineRule="exact"/>
        <w:rPr>
          <w:rFonts w:ascii="微软雅黑" w:eastAsia="微软雅黑" w:hAnsi="微软雅黑"/>
        </w:rPr>
      </w:pPr>
      <w:r>
        <w:rPr>
          <w:rFonts w:ascii="微软雅黑" w:eastAsia="微软雅黑" w:hAnsi="微软雅黑" w:hint="eastAsia"/>
        </w:rPr>
        <w:lastRenderedPageBreak/>
        <w:t>附件三：报名回执表</w:t>
      </w:r>
    </w:p>
    <w:p w14:paraId="51C0C91E" w14:textId="77777777" w:rsidR="002445FF" w:rsidRDefault="00143226">
      <w:pPr>
        <w:spacing w:line="440" w:lineRule="exact"/>
        <w:rPr>
          <w:rFonts w:ascii="微软雅黑" w:eastAsia="微软雅黑" w:hAnsi="微软雅黑"/>
          <w:u w:val="dash"/>
        </w:rPr>
      </w:pPr>
      <w:r>
        <w:rPr>
          <w:rFonts w:ascii="微软雅黑" w:eastAsia="微软雅黑" w:hAnsi="微软雅黑" w:hint="eastAsia"/>
          <w:u w:val="dash"/>
        </w:rPr>
        <w:t xml:space="preserve"> </w:t>
      </w:r>
      <w:r>
        <w:rPr>
          <w:rFonts w:ascii="微软雅黑" w:eastAsia="微软雅黑" w:hAnsi="微软雅黑"/>
          <w:u w:val="dash"/>
        </w:rPr>
        <w:t xml:space="preserve">                                                                                </w:t>
      </w:r>
    </w:p>
    <w:p w14:paraId="6BF0683A" w14:textId="77777777" w:rsidR="002445FF" w:rsidRDefault="00143226">
      <w:pPr>
        <w:widowControl/>
        <w:tabs>
          <w:tab w:val="center" w:pos="4766"/>
          <w:tab w:val="left" w:pos="6716"/>
        </w:tabs>
        <w:spacing w:line="440" w:lineRule="exact"/>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新华医院财务管理支撑精细化运营（第2期）</w:t>
      </w:r>
    </w:p>
    <w:p w14:paraId="00DB5B3B" w14:textId="77777777" w:rsidR="002445FF" w:rsidRDefault="00143226">
      <w:pPr>
        <w:widowControl/>
        <w:tabs>
          <w:tab w:val="center" w:pos="4766"/>
          <w:tab w:val="left" w:pos="6716"/>
        </w:tabs>
        <w:spacing w:line="440" w:lineRule="exact"/>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559"/>
        <w:gridCol w:w="851"/>
        <w:gridCol w:w="1134"/>
        <w:gridCol w:w="396"/>
        <w:gridCol w:w="29"/>
        <w:gridCol w:w="963"/>
        <w:gridCol w:w="1872"/>
      </w:tblGrid>
      <w:tr w:rsidR="002445FF" w14:paraId="049D373B"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7981C" w14:textId="77777777" w:rsidR="002445FF" w:rsidRDefault="00143226">
            <w:pPr>
              <w:autoSpaceDN w:val="0"/>
              <w:spacing w:line="440" w:lineRule="exact"/>
              <w:rPr>
                <w:rFonts w:ascii="微软雅黑" w:eastAsia="微软雅黑" w:hAnsi="微软雅黑"/>
                <w:color w:val="58595B"/>
                <w:szCs w:val="21"/>
              </w:rPr>
            </w:pPr>
            <w:bookmarkStart w:id="1"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3546C" w14:textId="77777777" w:rsidR="002445FF" w:rsidRDefault="002445FF">
            <w:pPr>
              <w:autoSpaceDN w:val="0"/>
              <w:spacing w:line="440" w:lineRule="exact"/>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A87FB" w14:textId="77777777" w:rsidR="002445FF" w:rsidRDefault="00143226">
            <w:pPr>
              <w:autoSpaceDN w:val="0"/>
              <w:spacing w:line="440" w:lineRule="exact"/>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F6C5F" w14:textId="77777777" w:rsidR="002445FF" w:rsidRDefault="002445FF">
            <w:pPr>
              <w:autoSpaceDN w:val="0"/>
              <w:spacing w:line="440" w:lineRule="exact"/>
              <w:jc w:val="center"/>
              <w:rPr>
                <w:rFonts w:ascii="微软雅黑" w:eastAsia="微软雅黑" w:hAnsi="微软雅黑"/>
                <w:color w:val="58595B"/>
                <w:szCs w:val="21"/>
              </w:rPr>
            </w:pPr>
          </w:p>
        </w:tc>
      </w:tr>
      <w:tr w:rsidR="002445FF" w14:paraId="67837B1E"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C872F" w14:textId="77777777" w:rsidR="002445FF" w:rsidRDefault="00143226">
            <w:pPr>
              <w:tabs>
                <w:tab w:val="left" w:pos="360"/>
                <w:tab w:val="left" w:pos="540"/>
              </w:tabs>
              <w:autoSpaceDN w:val="0"/>
              <w:spacing w:line="44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AEB1E" w14:textId="77777777" w:rsidR="002445FF" w:rsidRDefault="00143226">
            <w:pPr>
              <w:widowControl/>
              <w:spacing w:line="400" w:lineRule="exact"/>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ABDF5" w14:textId="77777777" w:rsidR="002445FF" w:rsidRDefault="00143226">
            <w:pPr>
              <w:tabs>
                <w:tab w:val="left" w:pos="360"/>
                <w:tab w:val="left" w:pos="540"/>
              </w:tabs>
              <w:autoSpaceDN w:val="0"/>
              <w:spacing w:line="44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职务</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9B63499" w14:textId="77777777" w:rsidR="002445FF" w:rsidRDefault="00143226">
            <w:pPr>
              <w:tabs>
                <w:tab w:val="left" w:pos="360"/>
                <w:tab w:val="left" w:pos="540"/>
              </w:tabs>
              <w:autoSpaceDN w:val="0"/>
              <w:spacing w:line="44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CAE32" w14:textId="77777777" w:rsidR="002445FF" w:rsidRDefault="00143226">
            <w:pPr>
              <w:tabs>
                <w:tab w:val="left" w:pos="360"/>
                <w:tab w:val="left" w:pos="540"/>
              </w:tabs>
              <w:autoSpaceDN w:val="0"/>
              <w:spacing w:line="440" w:lineRule="exact"/>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2445FF" w14:paraId="15276F4B"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72EA0" w14:textId="77777777" w:rsidR="002445FF" w:rsidRDefault="002445FF">
            <w:pPr>
              <w:tabs>
                <w:tab w:val="left" w:pos="360"/>
                <w:tab w:val="left" w:pos="540"/>
              </w:tabs>
              <w:autoSpaceDN w:val="0"/>
              <w:spacing w:line="440" w:lineRule="exact"/>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48C37" w14:textId="77777777" w:rsidR="002445FF" w:rsidRDefault="002445FF">
            <w:pPr>
              <w:tabs>
                <w:tab w:val="left" w:pos="360"/>
                <w:tab w:val="left" w:pos="540"/>
              </w:tabs>
              <w:autoSpaceDN w:val="0"/>
              <w:spacing w:line="440" w:lineRule="exact"/>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3D685"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329A387"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34B95" w14:textId="77777777" w:rsidR="002445FF" w:rsidRDefault="002445FF">
            <w:pPr>
              <w:tabs>
                <w:tab w:val="left" w:pos="360"/>
                <w:tab w:val="left" w:pos="540"/>
              </w:tabs>
              <w:autoSpaceDN w:val="0"/>
              <w:spacing w:line="440" w:lineRule="exact"/>
              <w:ind w:left="27"/>
              <w:jc w:val="center"/>
              <w:rPr>
                <w:rFonts w:ascii="微软雅黑" w:eastAsia="微软雅黑" w:hAnsi="微软雅黑"/>
                <w:b/>
                <w:color w:val="000000"/>
                <w:szCs w:val="21"/>
              </w:rPr>
            </w:pPr>
          </w:p>
        </w:tc>
      </w:tr>
      <w:tr w:rsidR="002445FF" w14:paraId="69917153"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53C2" w14:textId="77777777" w:rsidR="002445FF" w:rsidRDefault="002445FF">
            <w:pPr>
              <w:tabs>
                <w:tab w:val="left" w:pos="360"/>
                <w:tab w:val="left" w:pos="540"/>
              </w:tabs>
              <w:autoSpaceDN w:val="0"/>
              <w:spacing w:line="440" w:lineRule="exact"/>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B0635" w14:textId="77777777" w:rsidR="002445FF" w:rsidRDefault="002445FF">
            <w:pPr>
              <w:tabs>
                <w:tab w:val="left" w:pos="360"/>
                <w:tab w:val="left" w:pos="540"/>
              </w:tabs>
              <w:autoSpaceDN w:val="0"/>
              <w:spacing w:line="440" w:lineRule="exact"/>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9D2BA"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AD6219A"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410B3" w14:textId="77777777" w:rsidR="002445FF" w:rsidRDefault="002445FF">
            <w:pPr>
              <w:tabs>
                <w:tab w:val="left" w:pos="360"/>
                <w:tab w:val="left" w:pos="540"/>
              </w:tabs>
              <w:autoSpaceDN w:val="0"/>
              <w:spacing w:line="440" w:lineRule="exact"/>
              <w:ind w:left="27"/>
              <w:jc w:val="center"/>
              <w:rPr>
                <w:rFonts w:ascii="微软雅黑" w:eastAsia="微软雅黑" w:hAnsi="微软雅黑"/>
                <w:b/>
                <w:color w:val="000000"/>
                <w:szCs w:val="21"/>
              </w:rPr>
            </w:pPr>
          </w:p>
        </w:tc>
      </w:tr>
      <w:tr w:rsidR="002445FF" w14:paraId="6D570223"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5763D" w14:textId="77777777" w:rsidR="002445FF" w:rsidRDefault="002445FF">
            <w:pPr>
              <w:tabs>
                <w:tab w:val="left" w:pos="360"/>
                <w:tab w:val="left" w:pos="540"/>
              </w:tabs>
              <w:autoSpaceDN w:val="0"/>
              <w:spacing w:line="440" w:lineRule="exact"/>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5CA04" w14:textId="77777777" w:rsidR="002445FF" w:rsidRDefault="002445FF">
            <w:pPr>
              <w:tabs>
                <w:tab w:val="left" w:pos="360"/>
                <w:tab w:val="left" w:pos="540"/>
              </w:tabs>
              <w:autoSpaceDN w:val="0"/>
              <w:spacing w:line="440" w:lineRule="exact"/>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3DCB5"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757031E"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F56F0" w14:textId="77777777" w:rsidR="002445FF" w:rsidRDefault="002445FF">
            <w:pPr>
              <w:tabs>
                <w:tab w:val="left" w:pos="360"/>
                <w:tab w:val="left" w:pos="540"/>
              </w:tabs>
              <w:autoSpaceDN w:val="0"/>
              <w:spacing w:line="440" w:lineRule="exact"/>
              <w:ind w:left="27"/>
              <w:jc w:val="center"/>
              <w:rPr>
                <w:rFonts w:ascii="微软雅黑" w:eastAsia="微软雅黑" w:hAnsi="微软雅黑"/>
                <w:b/>
                <w:color w:val="000000"/>
                <w:szCs w:val="21"/>
              </w:rPr>
            </w:pPr>
          </w:p>
        </w:tc>
      </w:tr>
      <w:tr w:rsidR="002445FF" w14:paraId="537FA3F8"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9E776" w14:textId="77777777" w:rsidR="002445FF" w:rsidRDefault="002445FF">
            <w:pPr>
              <w:tabs>
                <w:tab w:val="left" w:pos="360"/>
                <w:tab w:val="left" w:pos="540"/>
              </w:tabs>
              <w:autoSpaceDN w:val="0"/>
              <w:spacing w:line="440" w:lineRule="exact"/>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15F54" w14:textId="77777777" w:rsidR="002445FF" w:rsidRDefault="002445FF">
            <w:pPr>
              <w:tabs>
                <w:tab w:val="left" w:pos="360"/>
                <w:tab w:val="left" w:pos="540"/>
              </w:tabs>
              <w:autoSpaceDN w:val="0"/>
              <w:spacing w:line="440" w:lineRule="exact"/>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2DB99"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04F84BA"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3AF0E" w14:textId="77777777" w:rsidR="002445FF" w:rsidRDefault="002445FF">
            <w:pPr>
              <w:tabs>
                <w:tab w:val="left" w:pos="360"/>
                <w:tab w:val="left" w:pos="540"/>
              </w:tabs>
              <w:autoSpaceDN w:val="0"/>
              <w:spacing w:line="440" w:lineRule="exact"/>
              <w:ind w:left="27"/>
              <w:jc w:val="center"/>
              <w:rPr>
                <w:rFonts w:ascii="微软雅黑" w:eastAsia="微软雅黑" w:hAnsi="微软雅黑"/>
                <w:b/>
                <w:color w:val="000000"/>
                <w:szCs w:val="21"/>
              </w:rPr>
            </w:pPr>
          </w:p>
        </w:tc>
      </w:tr>
      <w:tr w:rsidR="002445FF" w14:paraId="2BB9AA54"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252E8" w14:textId="77777777" w:rsidR="002445FF" w:rsidRDefault="002445FF">
            <w:pPr>
              <w:tabs>
                <w:tab w:val="left" w:pos="360"/>
                <w:tab w:val="left" w:pos="540"/>
              </w:tabs>
              <w:autoSpaceDN w:val="0"/>
              <w:spacing w:line="440" w:lineRule="exact"/>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38B1C" w14:textId="77777777" w:rsidR="002445FF" w:rsidRDefault="002445FF">
            <w:pPr>
              <w:tabs>
                <w:tab w:val="left" w:pos="360"/>
                <w:tab w:val="left" w:pos="540"/>
              </w:tabs>
              <w:autoSpaceDN w:val="0"/>
              <w:spacing w:line="440" w:lineRule="exact"/>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CA28A"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8645B27" w14:textId="77777777" w:rsidR="002445FF" w:rsidRDefault="002445FF">
            <w:pPr>
              <w:tabs>
                <w:tab w:val="left" w:pos="360"/>
                <w:tab w:val="left" w:pos="540"/>
              </w:tabs>
              <w:autoSpaceDN w:val="0"/>
              <w:spacing w:line="440" w:lineRule="exact"/>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9CAE5" w14:textId="77777777" w:rsidR="002445FF" w:rsidRDefault="002445FF">
            <w:pPr>
              <w:tabs>
                <w:tab w:val="left" w:pos="360"/>
                <w:tab w:val="left" w:pos="540"/>
              </w:tabs>
              <w:autoSpaceDN w:val="0"/>
              <w:spacing w:line="440" w:lineRule="exact"/>
              <w:ind w:left="27"/>
              <w:jc w:val="center"/>
              <w:rPr>
                <w:rFonts w:ascii="微软雅黑" w:eastAsia="微软雅黑" w:hAnsi="微软雅黑"/>
                <w:b/>
                <w:color w:val="000000"/>
                <w:szCs w:val="21"/>
              </w:rPr>
            </w:pPr>
          </w:p>
        </w:tc>
      </w:tr>
      <w:tr w:rsidR="002445FF" w14:paraId="209A2471"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82B2A" w14:textId="77777777" w:rsidR="002445FF" w:rsidRDefault="00143226">
            <w:pPr>
              <w:tabs>
                <w:tab w:val="left" w:pos="360"/>
                <w:tab w:val="left" w:pos="540"/>
              </w:tabs>
              <w:autoSpaceDN w:val="0"/>
              <w:spacing w:line="440" w:lineRule="exact"/>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CAB25" w14:textId="77777777" w:rsidR="002445FF" w:rsidRDefault="00143226">
            <w:pPr>
              <w:spacing w:line="440" w:lineRule="exact"/>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AAE8FD2" w14:textId="77777777" w:rsidR="002445FF" w:rsidRDefault="00143226">
            <w:pPr>
              <w:spacing w:line="440" w:lineRule="exact"/>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05D03BFE" w14:textId="77777777" w:rsidR="002445FF" w:rsidRDefault="00143226">
            <w:pPr>
              <w:spacing w:line="440" w:lineRule="exact"/>
              <w:rPr>
                <w:rFonts w:ascii="微软雅黑" w:eastAsia="微软雅黑" w:hAnsi="微软雅黑" w:cs="宋体"/>
                <w:bCs/>
                <w:szCs w:val="21"/>
              </w:rPr>
            </w:pPr>
            <w:r>
              <w:rPr>
                <w:rFonts w:ascii="微软雅黑" w:eastAsia="微软雅黑" w:hAnsi="微软雅黑" w:cs="宋体" w:hint="eastAsia"/>
                <w:bCs/>
                <w:szCs w:val="21"/>
              </w:rPr>
              <w:t>￥：</w:t>
            </w:r>
          </w:p>
        </w:tc>
      </w:tr>
      <w:tr w:rsidR="002445FF" w14:paraId="1D152482"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4BA1F" w14:textId="77777777" w:rsidR="002445FF" w:rsidRDefault="00143226">
            <w:pPr>
              <w:tabs>
                <w:tab w:val="left" w:pos="360"/>
                <w:tab w:val="left" w:pos="540"/>
              </w:tabs>
              <w:autoSpaceDN w:val="0"/>
              <w:spacing w:line="400" w:lineRule="exact"/>
              <w:jc w:val="left"/>
              <w:rPr>
                <w:rFonts w:ascii="微软雅黑" w:eastAsia="微软雅黑" w:hAnsi="微软雅黑" w:cs="宋体"/>
                <w:b/>
                <w:color w:val="000000"/>
                <w:szCs w:val="21"/>
              </w:rPr>
            </w:pPr>
            <w:r>
              <w:rPr>
                <w:rFonts w:ascii="微软雅黑" w:eastAsia="微软雅黑" w:hAnsi="微软雅黑" w:cs="宋体" w:hint="eastAsia"/>
                <w:b/>
                <w:color w:val="000000"/>
                <w:szCs w:val="21"/>
              </w:rPr>
              <w:t>线上班：</w:t>
            </w:r>
            <w:r>
              <w:rPr>
                <w:rFonts w:ascii="微软雅黑" w:eastAsia="微软雅黑" w:hAnsi="微软雅黑" w:cs="宋体" w:hint="eastAsia"/>
                <w:b/>
                <w:color w:val="000000"/>
                <w:sz w:val="28"/>
                <w:szCs w:val="28"/>
              </w:rPr>
              <w:sym w:font="Wingdings" w:char="00A8"/>
            </w:r>
            <w:r>
              <w:rPr>
                <w:rFonts w:ascii="微软雅黑" w:eastAsia="微软雅黑" w:hAnsi="微软雅黑" w:cs="宋体" w:hint="eastAsia"/>
                <w:b/>
                <w:color w:val="000000"/>
                <w:sz w:val="32"/>
                <w:szCs w:val="32"/>
              </w:rPr>
              <w:t xml:space="preserve"> </w:t>
            </w:r>
            <w:r>
              <w:rPr>
                <w:rFonts w:ascii="微软雅黑" w:eastAsia="微软雅黑" w:hAnsi="微软雅黑" w:cs="宋体" w:hint="eastAsia"/>
                <w:b/>
                <w:color w:val="000000"/>
                <w:szCs w:val="21"/>
              </w:rPr>
              <w:t xml:space="preserve">         线下班：</w:t>
            </w:r>
            <w:r>
              <w:rPr>
                <w:rFonts w:ascii="微软雅黑" w:eastAsia="微软雅黑" w:hAnsi="微软雅黑" w:cs="宋体" w:hint="eastAsia"/>
                <w:b/>
                <w:color w:val="000000"/>
                <w:sz w:val="28"/>
                <w:szCs w:val="28"/>
              </w:rPr>
              <w:sym w:font="Wingdings" w:char="00A8"/>
            </w:r>
            <w:r>
              <w:rPr>
                <w:rFonts w:ascii="微软雅黑" w:eastAsia="微软雅黑" w:hAnsi="微软雅黑" w:cs="宋体" w:hint="eastAsia"/>
                <w:b/>
                <w:color w:val="000000"/>
                <w:szCs w:val="21"/>
              </w:rPr>
              <w:t xml:space="preserve">                    请在相应 </w:t>
            </w:r>
            <w:r>
              <w:rPr>
                <w:rFonts w:ascii="微软雅黑" w:eastAsia="微软雅黑" w:hAnsi="微软雅黑" w:cs="宋体" w:hint="eastAsia"/>
                <w:b/>
                <w:color w:val="000000"/>
                <w:sz w:val="28"/>
                <w:szCs w:val="28"/>
              </w:rPr>
              <w:sym w:font="Wingdings" w:char="00A8"/>
            </w:r>
            <w:r>
              <w:rPr>
                <w:rFonts w:ascii="微软雅黑" w:eastAsia="微软雅黑" w:hAnsi="微软雅黑" w:cs="宋体" w:hint="eastAsia"/>
                <w:b/>
                <w:color w:val="000000"/>
                <w:szCs w:val="21"/>
              </w:rPr>
              <w:t xml:space="preserve"> </w:t>
            </w:r>
            <w:proofErr w:type="gramStart"/>
            <w:r>
              <w:rPr>
                <w:rFonts w:ascii="微软雅黑" w:eastAsia="微软雅黑" w:hAnsi="微软雅黑" w:cs="宋体" w:hint="eastAsia"/>
                <w:b/>
                <w:color w:val="000000"/>
                <w:szCs w:val="21"/>
              </w:rPr>
              <w:t>内勾选</w:t>
            </w:r>
            <w:proofErr w:type="gramEnd"/>
            <w:r>
              <w:rPr>
                <w:rFonts w:ascii="微软雅黑" w:eastAsia="微软雅黑" w:hAnsi="微软雅黑" w:cs="宋体" w:hint="eastAsia"/>
                <w:b/>
                <w:color w:val="000000"/>
                <w:szCs w:val="21"/>
              </w:rPr>
              <w:t xml:space="preserve"> </w:t>
            </w:r>
            <w:r>
              <w:rPr>
                <w:rFonts w:ascii="Arial" w:eastAsia="微软雅黑" w:hAnsi="Arial" w:cs="Arial"/>
                <w:b/>
                <w:color w:val="000000"/>
                <w:szCs w:val="21"/>
              </w:rPr>
              <w:t>√</w:t>
            </w:r>
          </w:p>
        </w:tc>
      </w:tr>
      <w:tr w:rsidR="002445FF" w14:paraId="2FE60918"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6629F" w14:textId="77777777" w:rsidR="002445FF" w:rsidRDefault="00143226">
            <w:pPr>
              <w:tabs>
                <w:tab w:val="left" w:pos="360"/>
                <w:tab w:val="left" w:pos="540"/>
              </w:tabs>
              <w:autoSpaceDN w:val="0"/>
              <w:spacing w:line="40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0EA24DF9"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会务组，线上班培训费报名后电汇至上海国家会计学院。</w:t>
            </w:r>
          </w:p>
          <w:p w14:paraId="039605A1"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住宿：学员公寓（现场缴纳） </w:t>
            </w:r>
          </w:p>
          <w:p w14:paraId="2D629F7F"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单人间：260元/晚，餐费 120元/人天，食宿费按实结算</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D92D8" w14:textId="77777777" w:rsidR="002445FF" w:rsidRDefault="00143226">
            <w:pPr>
              <w:tabs>
                <w:tab w:val="left" w:pos="360"/>
                <w:tab w:val="left" w:pos="540"/>
              </w:tabs>
              <w:autoSpaceDN w:val="0"/>
              <w:spacing w:line="40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41473BCA"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64CD8D9F"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3CBEF36A"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048CFD82"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温馨提示：汇款时请备注“新华医院第2期”，并将汇款截图发至会务组。</w:t>
            </w:r>
          </w:p>
        </w:tc>
      </w:tr>
      <w:tr w:rsidR="002445FF" w14:paraId="72B307B2"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79F48" w14:textId="77777777" w:rsidR="002445FF" w:rsidRDefault="00143226">
            <w:pPr>
              <w:tabs>
                <w:tab w:val="left" w:pos="360"/>
                <w:tab w:val="left" w:pos="540"/>
              </w:tabs>
              <w:autoSpaceDN w:val="0"/>
              <w:spacing w:line="40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04A66487" w14:textId="77777777" w:rsidR="002445FF" w:rsidRDefault="00143226">
            <w:pPr>
              <w:tabs>
                <w:tab w:val="left" w:pos="360"/>
                <w:tab w:val="left" w:pos="540"/>
              </w:tabs>
              <w:autoSpaceDN w:val="0"/>
              <w:spacing w:line="40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会务组联系人：</w:t>
            </w:r>
            <w:r>
              <w:rPr>
                <w:rFonts w:ascii="微软雅黑" w:eastAsia="微软雅黑" w:hAnsi="微软雅黑" w:cs="宋体" w:hint="eastAsia"/>
                <w:kern w:val="0"/>
                <w:szCs w:val="21"/>
              </w:rPr>
              <w:t>李老师</w:t>
            </w:r>
            <w:r>
              <w:rPr>
                <w:rFonts w:ascii="微软雅黑" w:eastAsia="微软雅黑" w:hAnsi="微软雅黑" w:cs="宋体" w:hint="eastAsia"/>
                <w:bCs/>
                <w:color w:val="000000"/>
                <w:szCs w:val="21"/>
              </w:rPr>
              <w:t xml:space="preserve">   手机：</w:t>
            </w:r>
            <w:r>
              <w:rPr>
                <w:rFonts w:ascii="微软雅黑" w:eastAsia="微软雅黑" w:hAnsi="微软雅黑" w:cs="宋体"/>
                <w:kern w:val="0"/>
                <w:szCs w:val="21"/>
              </w:rPr>
              <w:t>18906415326</w:t>
            </w:r>
            <w:r>
              <w:rPr>
                <w:rFonts w:ascii="微软雅黑" w:eastAsia="微软雅黑" w:hAnsi="微软雅黑" w:cs="宋体" w:hint="eastAsia"/>
                <w:kern w:val="0"/>
                <w:szCs w:val="21"/>
              </w:rPr>
              <w:t>（</w:t>
            </w:r>
            <w:proofErr w:type="gramStart"/>
            <w:r>
              <w:rPr>
                <w:rFonts w:ascii="微软雅黑" w:eastAsia="微软雅黑" w:hAnsi="微软雅黑" w:cs="宋体" w:hint="eastAsia"/>
                <w:kern w:val="0"/>
                <w:szCs w:val="21"/>
              </w:rPr>
              <w:t>微信同</w:t>
            </w:r>
            <w:proofErr w:type="gramEnd"/>
            <w:r>
              <w:rPr>
                <w:rFonts w:ascii="微软雅黑" w:eastAsia="微软雅黑" w:hAnsi="微软雅黑" w:cs="宋体" w:hint="eastAsia"/>
                <w:kern w:val="0"/>
                <w:szCs w:val="21"/>
              </w:rPr>
              <w:t>号）</w:t>
            </w:r>
            <w:r>
              <w:rPr>
                <w:rFonts w:ascii="微软雅黑" w:eastAsia="微软雅黑" w:hAnsi="微软雅黑" w:cs="宋体" w:hint="eastAsia"/>
                <w:bCs/>
                <w:color w:val="000000"/>
                <w:szCs w:val="21"/>
              </w:rPr>
              <w:t xml:space="preserve">   </w:t>
            </w:r>
          </w:p>
          <w:p w14:paraId="7E6B3A93" w14:textId="77777777" w:rsidR="002445FF" w:rsidRDefault="00143226">
            <w:pPr>
              <w:tabs>
                <w:tab w:val="left" w:pos="360"/>
                <w:tab w:val="left" w:pos="540"/>
              </w:tabs>
              <w:autoSpaceDN w:val="0"/>
              <w:spacing w:line="400" w:lineRule="exact"/>
              <w:rPr>
                <w:rFonts w:ascii="微软雅黑" w:eastAsia="微软雅黑" w:hAnsi="微软雅黑" w:cs="宋体"/>
                <w:kern w:val="0"/>
                <w:szCs w:val="21"/>
              </w:rPr>
            </w:pPr>
            <w:r>
              <w:rPr>
                <w:rFonts w:ascii="微软雅黑" w:eastAsia="微软雅黑" w:hAnsi="微软雅黑" w:cs="宋体" w:hint="eastAsia"/>
                <w:bCs/>
                <w:color w:val="000000"/>
                <w:szCs w:val="21"/>
              </w:rPr>
              <w:t>报名邮箱：</w:t>
            </w:r>
            <w:r>
              <w:rPr>
                <w:rFonts w:ascii="微软雅黑" w:eastAsia="微软雅黑" w:hAnsi="微软雅黑" w:cs="宋体"/>
                <w:kern w:val="0"/>
                <w:szCs w:val="21"/>
              </w:rPr>
              <w:t>18906415326@163.</w:t>
            </w:r>
            <w:r>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bookmarkEnd w:id="1"/>
    </w:tbl>
    <w:p w14:paraId="593B1FE3" w14:textId="77777777" w:rsidR="002445FF" w:rsidRDefault="002445FF">
      <w:pPr>
        <w:widowControl/>
        <w:spacing w:line="400" w:lineRule="exact"/>
        <w:rPr>
          <w:rFonts w:ascii="微软雅黑" w:eastAsia="微软雅黑" w:hAnsi="微软雅黑" w:cs="Times New Roman (正文 CS 字体)"/>
          <w:sz w:val="24"/>
          <w:szCs w:val="24"/>
        </w:rPr>
      </w:pPr>
    </w:p>
    <w:sectPr w:rsidR="00244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328F" w14:textId="77777777" w:rsidR="001C56ED" w:rsidRDefault="001C56ED" w:rsidP="00A522A6">
      <w:r>
        <w:separator/>
      </w:r>
    </w:p>
  </w:endnote>
  <w:endnote w:type="continuationSeparator" w:id="0">
    <w:p w14:paraId="446DF986" w14:textId="77777777" w:rsidR="001C56ED" w:rsidRDefault="001C56ED" w:rsidP="00A5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BDB3" w14:textId="77777777" w:rsidR="001C56ED" w:rsidRDefault="001C56ED" w:rsidP="00A522A6">
      <w:r>
        <w:separator/>
      </w:r>
    </w:p>
  </w:footnote>
  <w:footnote w:type="continuationSeparator" w:id="0">
    <w:p w14:paraId="461E8FA2" w14:textId="77777777" w:rsidR="001C56ED" w:rsidRDefault="001C56ED" w:rsidP="00A5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05"/>
    <w:rsid w:val="000155D5"/>
    <w:rsid w:val="00032098"/>
    <w:rsid w:val="00074EA3"/>
    <w:rsid w:val="000901DC"/>
    <w:rsid w:val="000A62A3"/>
    <w:rsid w:val="000A763D"/>
    <w:rsid w:val="000C4830"/>
    <w:rsid w:val="000C6F8B"/>
    <w:rsid w:val="000E6534"/>
    <w:rsid w:val="00121527"/>
    <w:rsid w:val="001368E6"/>
    <w:rsid w:val="00143226"/>
    <w:rsid w:val="00161B25"/>
    <w:rsid w:val="001712AB"/>
    <w:rsid w:val="0017775D"/>
    <w:rsid w:val="001B564D"/>
    <w:rsid w:val="001C3C9C"/>
    <w:rsid w:val="001C56ED"/>
    <w:rsid w:val="00202F90"/>
    <w:rsid w:val="002445FF"/>
    <w:rsid w:val="0028721C"/>
    <w:rsid w:val="002E6069"/>
    <w:rsid w:val="002F7089"/>
    <w:rsid w:val="00316F35"/>
    <w:rsid w:val="00321592"/>
    <w:rsid w:val="003465A5"/>
    <w:rsid w:val="00364BD4"/>
    <w:rsid w:val="00375A30"/>
    <w:rsid w:val="00391761"/>
    <w:rsid w:val="003B7F88"/>
    <w:rsid w:val="003C34C7"/>
    <w:rsid w:val="003F06F0"/>
    <w:rsid w:val="00414EFD"/>
    <w:rsid w:val="00430AF2"/>
    <w:rsid w:val="00445C6C"/>
    <w:rsid w:val="00462523"/>
    <w:rsid w:val="004C3D48"/>
    <w:rsid w:val="004D5815"/>
    <w:rsid w:val="004F2B55"/>
    <w:rsid w:val="004F3067"/>
    <w:rsid w:val="004F3846"/>
    <w:rsid w:val="004F650C"/>
    <w:rsid w:val="004F78CA"/>
    <w:rsid w:val="005111F2"/>
    <w:rsid w:val="00572911"/>
    <w:rsid w:val="005769DA"/>
    <w:rsid w:val="005D1FBE"/>
    <w:rsid w:val="005F33F1"/>
    <w:rsid w:val="005F371D"/>
    <w:rsid w:val="005F4520"/>
    <w:rsid w:val="006552B0"/>
    <w:rsid w:val="0066348B"/>
    <w:rsid w:val="00670AE7"/>
    <w:rsid w:val="006850E0"/>
    <w:rsid w:val="00693571"/>
    <w:rsid w:val="006C6B33"/>
    <w:rsid w:val="006C7AFF"/>
    <w:rsid w:val="006C7FD3"/>
    <w:rsid w:val="006F3633"/>
    <w:rsid w:val="00750E93"/>
    <w:rsid w:val="007933DC"/>
    <w:rsid w:val="007C2B42"/>
    <w:rsid w:val="007D16B7"/>
    <w:rsid w:val="007F1035"/>
    <w:rsid w:val="00802C8A"/>
    <w:rsid w:val="00825688"/>
    <w:rsid w:val="00831169"/>
    <w:rsid w:val="00845F6C"/>
    <w:rsid w:val="008504DB"/>
    <w:rsid w:val="008C12D6"/>
    <w:rsid w:val="008D06DA"/>
    <w:rsid w:val="008F3D1C"/>
    <w:rsid w:val="00931597"/>
    <w:rsid w:val="0093511A"/>
    <w:rsid w:val="00942D91"/>
    <w:rsid w:val="00962282"/>
    <w:rsid w:val="0098707F"/>
    <w:rsid w:val="009A2FEA"/>
    <w:rsid w:val="009B60BB"/>
    <w:rsid w:val="009C2103"/>
    <w:rsid w:val="00A40B1A"/>
    <w:rsid w:val="00A522A6"/>
    <w:rsid w:val="00AB0AA6"/>
    <w:rsid w:val="00AC3A49"/>
    <w:rsid w:val="00AC400A"/>
    <w:rsid w:val="00AC7CD3"/>
    <w:rsid w:val="00AD2E4D"/>
    <w:rsid w:val="00AD65C5"/>
    <w:rsid w:val="00B00543"/>
    <w:rsid w:val="00B172BB"/>
    <w:rsid w:val="00B43AE1"/>
    <w:rsid w:val="00B605FA"/>
    <w:rsid w:val="00B75344"/>
    <w:rsid w:val="00B85F72"/>
    <w:rsid w:val="00B9528C"/>
    <w:rsid w:val="00BA7049"/>
    <w:rsid w:val="00BC502F"/>
    <w:rsid w:val="00C51C02"/>
    <w:rsid w:val="00C638C5"/>
    <w:rsid w:val="00C9688B"/>
    <w:rsid w:val="00C97243"/>
    <w:rsid w:val="00CE0E7C"/>
    <w:rsid w:val="00CE7081"/>
    <w:rsid w:val="00D04CD5"/>
    <w:rsid w:val="00D501B7"/>
    <w:rsid w:val="00D838CE"/>
    <w:rsid w:val="00D9744C"/>
    <w:rsid w:val="00DA0EC1"/>
    <w:rsid w:val="00DA2905"/>
    <w:rsid w:val="00DC0065"/>
    <w:rsid w:val="00E33BD0"/>
    <w:rsid w:val="00E63E22"/>
    <w:rsid w:val="00EB1ECD"/>
    <w:rsid w:val="00EC0585"/>
    <w:rsid w:val="00EE5980"/>
    <w:rsid w:val="00F14576"/>
    <w:rsid w:val="00F24FB6"/>
    <w:rsid w:val="00F64356"/>
    <w:rsid w:val="00FB0012"/>
    <w:rsid w:val="00FB2B82"/>
    <w:rsid w:val="00FB5468"/>
    <w:rsid w:val="00FF23DC"/>
    <w:rsid w:val="00FF5FD7"/>
    <w:rsid w:val="149D71D6"/>
    <w:rsid w:val="23836CDB"/>
    <w:rsid w:val="6A9D7650"/>
    <w:rsid w:val="6D130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DC2760"/>
  <w15:docId w15:val="{902DA6B7-BFB7-40FC-A39C-3FBC8724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666666"/>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 w:type="character" w:customStyle="1" w:styleId="a4">
    <w:name w:val="批注框文本 字符"/>
    <w:basedOn w:val="a0"/>
    <w:link w:val="a3"/>
    <w:uiPriority w:val="99"/>
    <w:semiHidden/>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d">
    <w:name w:val="No Spacing"/>
    <w:uiPriority w:val="1"/>
    <w:qFormat/>
    <w:pPr>
      <w:widowControl w:val="0"/>
      <w:jc w:val="both"/>
    </w:pPr>
    <w:rPr>
      <w:rFonts w:ascii="Calibri" w:eastAsia="宋体" w:hAnsi="Calibri" w:cs="Times New Roman"/>
      <w:kern w:val="2"/>
      <w:sz w:val="21"/>
      <w:szCs w:val="22"/>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F4AF9-DB59-4524-8B18-75F484C6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945</Words>
  <Characters>5393</Characters>
  <Application>Microsoft Office Word</Application>
  <DocSecurity>0</DocSecurity>
  <Lines>44</Lines>
  <Paragraphs>12</Paragraphs>
  <ScaleCrop>false</ScaleCrop>
  <Company>China</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李永康</cp:lastModifiedBy>
  <cp:revision>2</cp:revision>
  <cp:lastPrinted>2022-07-14T05:41:00Z</cp:lastPrinted>
  <dcterms:created xsi:type="dcterms:W3CDTF">2022-07-15T00:57:00Z</dcterms:created>
  <dcterms:modified xsi:type="dcterms:W3CDTF">2022-07-15T00:57:00Z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